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D6A0B" w14:textId="77777777" w:rsidR="00036077" w:rsidRPr="001E60AA" w:rsidRDefault="00036077" w:rsidP="00036077">
      <w:pPr>
        <w:ind w:left="1418" w:firstLine="0"/>
        <w:jc w:val="left"/>
        <w:rPr>
          <w:rFonts w:ascii="Cambria" w:hAnsi="Cambria"/>
          <w:iCs/>
          <w:color w:val="000000" w:themeColor="text1"/>
          <w:sz w:val="24"/>
        </w:rPr>
      </w:pPr>
      <w:bookmarkStart w:id="0" w:name="_Hlk132719581"/>
      <w:r w:rsidRPr="001E60AA">
        <w:rPr>
          <w:rFonts w:ascii="Cambria" w:hAnsi="Cambria"/>
          <w:bCs/>
          <w:noProof/>
          <w:color w:val="000000" w:themeColor="text1"/>
          <w:sz w:val="24"/>
          <w:lang w:val="en-US" w:eastAsia="en-US"/>
        </w:rPr>
        <w:drawing>
          <wp:anchor distT="0" distB="0" distL="114300" distR="114300" simplePos="0" relativeHeight="251659264" behindDoc="0" locked="0" layoutInCell="1" allowOverlap="1" wp14:anchorId="44E4366B" wp14:editId="02088C54">
            <wp:simplePos x="0" y="0"/>
            <wp:positionH relativeFrom="margin">
              <wp:posOffset>89854</wp:posOffset>
            </wp:positionH>
            <wp:positionV relativeFrom="paragraph">
              <wp:posOffset>5286</wp:posOffset>
            </wp:positionV>
            <wp:extent cx="554983" cy="776975"/>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ver e jurnal han.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58741" cy="782237"/>
                    </a:xfrm>
                    <a:prstGeom prst="rect">
                      <a:avLst/>
                    </a:prstGeom>
                  </pic:spPr>
                </pic:pic>
              </a:graphicData>
            </a:graphic>
            <wp14:sizeRelH relativeFrom="margin">
              <wp14:pctWidth>0</wp14:pctWidth>
            </wp14:sizeRelH>
            <wp14:sizeRelV relativeFrom="margin">
              <wp14:pctHeight>0</wp14:pctHeight>
            </wp14:sizeRelV>
          </wp:anchor>
        </w:drawing>
      </w:r>
      <w:r w:rsidRPr="001E60AA">
        <w:rPr>
          <w:rFonts w:ascii="Cambria" w:hAnsi="Cambria"/>
          <w:bCs/>
          <w:color w:val="000000" w:themeColor="text1"/>
          <w:sz w:val="24"/>
        </w:rPr>
        <w:t>Jurnal Pertahanan</w:t>
      </w:r>
      <w:r w:rsidRPr="001E60AA">
        <w:rPr>
          <w:rFonts w:ascii="Cambria" w:hAnsi="Cambria"/>
          <w:bCs/>
          <w:color w:val="000000" w:themeColor="text1"/>
          <w:sz w:val="24"/>
          <w:lang w:val="en-US"/>
        </w:rPr>
        <w:t>:</w:t>
      </w:r>
      <w:r w:rsidRPr="001E60AA">
        <w:rPr>
          <w:rFonts w:ascii="Cambria" w:hAnsi="Cambria"/>
          <w:b/>
          <w:color w:val="000000" w:themeColor="text1"/>
          <w:sz w:val="24"/>
          <w:lang w:val="en-US"/>
        </w:rPr>
        <w:t xml:space="preserve"> </w:t>
      </w:r>
      <w:r w:rsidRPr="001E60AA">
        <w:rPr>
          <w:rFonts w:ascii="Cambria" w:hAnsi="Cambria"/>
          <w:color w:val="000000" w:themeColor="text1"/>
          <w:sz w:val="24"/>
        </w:rPr>
        <w:t>Media Informasi tentang Kajian dan Strategi</w:t>
      </w:r>
      <w:r w:rsidRPr="001E60AA">
        <w:rPr>
          <w:rFonts w:ascii="Cambria" w:hAnsi="Cambria"/>
          <w:color w:val="000000" w:themeColor="text1"/>
          <w:sz w:val="24"/>
          <w:lang w:val="en-US"/>
        </w:rPr>
        <w:t xml:space="preserve"> </w:t>
      </w:r>
      <w:r w:rsidRPr="001E60AA">
        <w:rPr>
          <w:rFonts w:ascii="Cambria" w:hAnsi="Cambria"/>
          <w:color w:val="000000" w:themeColor="text1"/>
          <w:sz w:val="24"/>
        </w:rPr>
        <w:t>Pertahanan</w:t>
      </w:r>
      <w:r w:rsidRPr="001E60AA">
        <w:rPr>
          <w:rFonts w:ascii="Cambria" w:hAnsi="Cambria"/>
          <w:color w:val="000000" w:themeColor="text1"/>
          <w:sz w:val="24"/>
          <w:lang w:val="en-US"/>
        </w:rPr>
        <w:t xml:space="preserve"> </w:t>
      </w:r>
      <w:r w:rsidRPr="001E60AA">
        <w:rPr>
          <w:rFonts w:ascii="Cambria" w:hAnsi="Cambria"/>
          <w:color w:val="000000" w:themeColor="text1"/>
          <w:sz w:val="24"/>
        </w:rPr>
        <w:t xml:space="preserve">yang Mengedepankan </w:t>
      </w:r>
      <w:r w:rsidRPr="001E60AA">
        <w:rPr>
          <w:rFonts w:ascii="Cambria" w:hAnsi="Cambria"/>
          <w:iCs/>
          <w:color w:val="000000" w:themeColor="text1"/>
          <w:sz w:val="24"/>
        </w:rPr>
        <w:t>Identity, Na</w:t>
      </w:r>
      <w:r w:rsidRPr="001E60AA">
        <w:rPr>
          <w:rFonts w:ascii="Cambria" w:hAnsi="Cambria"/>
          <w:iCs/>
          <w:color w:val="000000" w:themeColor="text1"/>
          <w:sz w:val="24"/>
          <w:lang w:val="en-US"/>
        </w:rPr>
        <w:t>s</w:t>
      </w:r>
      <w:r w:rsidRPr="001E60AA">
        <w:rPr>
          <w:rFonts w:ascii="Cambria" w:hAnsi="Cambria"/>
          <w:iCs/>
          <w:color w:val="000000" w:themeColor="text1"/>
          <w:sz w:val="24"/>
        </w:rPr>
        <w:t>ionalism</w:t>
      </w:r>
      <w:r w:rsidRPr="001E60AA">
        <w:rPr>
          <w:rFonts w:ascii="Cambria" w:hAnsi="Cambria"/>
          <w:iCs/>
          <w:color w:val="000000" w:themeColor="text1"/>
          <w:sz w:val="24"/>
          <w:lang w:val="en-AU"/>
        </w:rPr>
        <w:t xml:space="preserve"> dan</w:t>
      </w:r>
      <w:r w:rsidRPr="001E60AA">
        <w:rPr>
          <w:rFonts w:ascii="Cambria" w:hAnsi="Cambria"/>
          <w:iCs/>
          <w:color w:val="000000" w:themeColor="text1"/>
          <w:sz w:val="24"/>
        </w:rPr>
        <w:t xml:space="preserve"> Integrity</w:t>
      </w:r>
    </w:p>
    <w:p w14:paraId="3C9A0D4D" w14:textId="77777777" w:rsidR="00036077" w:rsidRPr="001E60AA" w:rsidRDefault="00036077" w:rsidP="00036077">
      <w:pPr>
        <w:ind w:left="1418" w:firstLine="0"/>
        <w:jc w:val="left"/>
        <w:rPr>
          <w:rFonts w:ascii="Cambria" w:hAnsi="Cambria"/>
          <w:iCs/>
          <w:color w:val="000000" w:themeColor="text1"/>
          <w:sz w:val="24"/>
          <w:lang w:val="en-US"/>
        </w:rPr>
      </w:pPr>
      <w:r w:rsidRPr="001E60AA">
        <w:rPr>
          <w:rFonts w:ascii="Cambria" w:hAnsi="Cambria"/>
          <w:iCs/>
          <w:color w:val="000000" w:themeColor="text1"/>
          <w:sz w:val="24"/>
          <w:lang w:val="en-US"/>
        </w:rPr>
        <w:t>Vol. X No. X (YEAR) pp.XX-XX</w:t>
      </w:r>
    </w:p>
    <w:p w14:paraId="7CFD0CA0" w14:textId="77777777" w:rsidR="00036077" w:rsidRPr="001E60AA" w:rsidRDefault="00036077" w:rsidP="00036077">
      <w:pPr>
        <w:pBdr>
          <w:bottom w:val="single" w:sz="4" w:space="8" w:color="auto"/>
        </w:pBdr>
        <w:ind w:firstLine="1418"/>
        <w:jc w:val="left"/>
        <w:rPr>
          <w:rFonts w:ascii="Cambria" w:hAnsi="Cambria"/>
          <w:color w:val="000000" w:themeColor="text1"/>
          <w:szCs w:val="22"/>
        </w:rPr>
      </w:pPr>
      <w:hyperlink r:id="rId5" w:history="1">
        <w:r w:rsidRPr="001E60AA">
          <w:rPr>
            <w:rStyle w:val="Hyperlink"/>
            <w:rFonts w:ascii="Cambria" w:hAnsi="Cambria"/>
            <w:color w:val="000000" w:themeColor="text1"/>
            <w:szCs w:val="22"/>
          </w:rPr>
          <w:t>http</w:t>
        </w:r>
        <w:r w:rsidRPr="001E60AA">
          <w:rPr>
            <w:rStyle w:val="Hyperlink"/>
            <w:rFonts w:ascii="Cambria" w:hAnsi="Cambria"/>
            <w:color w:val="000000" w:themeColor="text1"/>
            <w:szCs w:val="22"/>
            <w:lang w:val="en-US"/>
          </w:rPr>
          <w:t>s</w:t>
        </w:r>
        <w:r w:rsidRPr="001E60AA">
          <w:rPr>
            <w:rStyle w:val="Hyperlink"/>
            <w:rFonts w:ascii="Cambria" w:hAnsi="Cambria"/>
            <w:color w:val="000000" w:themeColor="text1"/>
            <w:szCs w:val="22"/>
          </w:rPr>
          <w:t>://jurnal.idu.ac.id/index.php/DefenseJournal</w:t>
        </w:r>
      </w:hyperlink>
    </w:p>
    <w:bookmarkEnd w:id="0"/>
    <w:p w14:paraId="12DA452C" w14:textId="77777777" w:rsidR="00036077" w:rsidRPr="001E60AA" w:rsidRDefault="00036077" w:rsidP="00036077">
      <w:pPr>
        <w:pStyle w:val="IEEEAuthorName"/>
        <w:spacing w:before="0" w:after="0"/>
        <w:jc w:val="left"/>
        <w:rPr>
          <w:rFonts w:ascii="Cambria" w:eastAsia="SimSun" w:hAnsi="Cambria"/>
          <w:b/>
          <w:color w:val="000000" w:themeColor="text1"/>
          <w:sz w:val="28"/>
          <w:szCs w:val="28"/>
          <w:lang w:val="id-ID" w:eastAsia="en-US"/>
        </w:rPr>
      </w:pPr>
    </w:p>
    <w:p w14:paraId="5A9C63F4" w14:textId="619C870B" w:rsidR="00036077" w:rsidRPr="001E60AA" w:rsidRDefault="00036077" w:rsidP="00036077">
      <w:pPr>
        <w:pStyle w:val="IEEEAuthorName"/>
        <w:spacing w:before="0" w:after="0"/>
        <w:jc w:val="left"/>
        <w:rPr>
          <w:rFonts w:ascii="Cambria" w:eastAsia="SimSun" w:hAnsi="Cambria"/>
          <w:b/>
          <w:color w:val="000000" w:themeColor="text1"/>
          <w:sz w:val="28"/>
          <w:szCs w:val="28"/>
          <w:lang w:val="en-US" w:eastAsia="en-US"/>
        </w:rPr>
      </w:pPr>
      <w:r w:rsidRPr="00036077">
        <w:rPr>
          <w:rFonts w:ascii="Cambria" w:eastAsia="SimSun" w:hAnsi="Cambria"/>
          <w:b/>
          <w:color w:val="000000" w:themeColor="text1"/>
          <w:sz w:val="28"/>
          <w:szCs w:val="28"/>
          <w:lang w:val="en-US" w:eastAsia="en-US"/>
        </w:rPr>
        <w:t>Religious Organizations in the Practice of Total People’s Defense: Muhammadiyah’s Strategy in Responding to the COVID-19 Pandemic</w:t>
      </w:r>
    </w:p>
    <w:p w14:paraId="3CB35F9B" w14:textId="77777777" w:rsidR="00036077" w:rsidRPr="001E60AA" w:rsidRDefault="00036077" w:rsidP="00036077">
      <w:pPr>
        <w:jc w:val="left"/>
        <w:rPr>
          <w:rFonts w:ascii="Cambria" w:hAnsi="Cambria"/>
          <w:color w:val="000000" w:themeColor="text1"/>
          <w:lang w:eastAsia="en-US"/>
        </w:rPr>
      </w:pPr>
    </w:p>
    <w:p w14:paraId="4867A097" w14:textId="77777777" w:rsidR="00036077" w:rsidRPr="001E60AA" w:rsidRDefault="00036077" w:rsidP="00036077">
      <w:pPr>
        <w:pStyle w:val="IEEEAuthorAffiliation"/>
        <w:spacing w:after="0"/>
        <w:jc w:val="left"/>
        <w:rPr>
          <w:rFonts w:ascii="Cambria" w:hAnsi="Cambria"/>
          <w:b/>
          <w:i w:val="0"/>
          <w:iCs/>
          <w:color w:val="000000" w:themeColor="text1"/>
          <w:sz w:val="24"/>
          <w:lang w:val="en-AU"/>
        </w:rPr>
      </w:pPr>
      <w:r w:rsidRPr="001E60AA">
        <w:rPr>
          <w:rFonts w:ascii="Cambria" w:hAnsi="Cambria"/>
          <w:b/>
          <w:i w:val="0"/>
          <w:iCs/>
          <w:color w:val="000000" w:themeColor="text1"/>
          <w:sz w:val="24"/>
          <w:lang w:val="en-AU"/>
        </w:rPr>
        <w:t>Fajar Riza Ul Haq</w:t>
      </w:r>
      <w:r w:rsidRPr="001E60AA">
        <w:rPr>
          <w:rFonts w:ascii="Cambria" w:hAnsi="Cambria"/>
          <w:b/>
          <w:i w:val="0"/>
          <w:iCs/>
          <w:color w:val="000000" w:themeColor="text1"/>
          <w:sz w:val="24"/>
          <w:vertAlign w:val="superscript"/>
          <w:lang w:val="en-AU"/>
        </w:rPr>
        <w:t>1</w:t>
      </w:r>
    </w:p>
    <w:p w14:paraId="4A888E2E" w14:textId="18DD6538" w:rsidR="00036077" w:rsidRPr="001E60AA" w:rsidRDefault="00036077" w:rsidP="00036077">
      <w:pPr>
        <w:ind w:firstLine="0"/>
        <w:jc w:val="left"/>
        <w:rPr>
          <w:rFonts w:ascii="Cambria" w:hAnsi="Cambria"/>
          <w:color w:val="000000" w:themeColor="text1"/>
          <w:lang w:val="en-AU" w:eastAsia="en-GB"/>
        </w:rPr>
      </w:pPr>
      <w:r w:rsidRPr="001E60AA">
        <w:rPr>
          <w:rFonts w:ascii="Cambria" w:hAnsi="Cambria"/>
          <w:color w:val="000000" w:themeColor="text1"/>
          <w:vertAlign w:val="superscript"/>
          <w:lang w:val="en-AU" w:eastAsia="en-GB"/>
        </w:rPr>
        <w:t>1</w:t>
      </w:r>
      <w:r w:rsidRPr="00036077">
        <w:rPr>
          <w:rFonts w:ascii="Cambria" w:hAnsi="Cambria"/>
          <w:color w:val="000000" w:themeColor="text1"/>
          <w:lang w:val="en-AU" w:eastAsia="en-GB"/>
        </w:rPr>
        <w:t>Chairperson of the Center for Strategic Studies, Central Board of Muhammadiyah</w:t>
      </w:r>
      <w:r>
        <w:rPr>
          <w:rFonts w:ascii="Cambria" w:hAnsi="Cambria"/>
          <w:color w:val="000000" w:themeColor="text1"/>
          <w:lang w:val="en-AU" w:eastAsia="en-GB"/>
        </w:rPr>
        <w:t xml:space="preserve"> </w:t>
      </w:r>
    </w:p>
    <w:p w14:paraId="73C365EE" w14:textId="23977F35" w:rsidR="00036077" w:rsidRPr="001E60AA" w:rsidRDefault="00036077" w:rsidP="00036077">
      <w:pPr>
        <w:ind w:firstLine="0"/>
        <w:jc w:val="left"/>
        <w:rPr>
          <w:rFonts w:ascii="Cambria" w:hAnsi="Cambria"/>
          <w:color w:val="000000" w:themeColor="text1"/>
          <w:lang w:val="en-AU" w:eastAsia="en-GB"/>
        </w:rPr>
      </w:pPr>
      <w:r w:rsidRPr="001E60AA">
        <w:rPr>
          <w:rFonts w:ascii="Cambria" w:hAnsi="Cambria"/>
          <w:color w:val="000000" w:themeColor="text1"/>
          <w:lang w:val="en-AU" w:eastAsia="en-GB"/>
        </w:rPr>
        <w:t>*</w:t>
      </w:r>
      <w:r w:rsidR="0015065D" w:rsidRPr="0015065D">
        <w:t xml:space="preserve"> </w:t>
      </w:r>
      <w:r w:rsidR="0015065D" w:rsidRPr="0015065D">
        <w:rPr>
          <w:rFonts w:ascii="Cambria" w:hAnsi="Cambria"/>
          <w:color w:val="000000" w:themeColor="text1"/>
          <w:lang w:val="en-AU" w:eastAsia="en-GB"/>
        </w:rPr>
        <w:t>fajarizaulhaq@gmail.com</w:t>
      </w:r>
    </w:p>
    <w:p w14:paraId="2A2A58E4" w14:textId="77777777" w:rsidR="00036077" w:rsidRPr="001E60AA" w:rsidRDefault="00036077" w:rsidP="00036077">
      <w:pPr>
        <w:ind w:firstLine="0"/>
        <w:jc w:val="left"/>
        <w:rPr>
          <w:rFonts w:ascii="Cambria" w:hAnsi="Cambria"/>
          <w:color w:val="000000" w:themeColor="text1"/>
          <w:lang w:val="en-AU" w:eastAsia="en-GB"/>
        </w:rPr>
      </w:pPr>
    </w:p>
    <w:tbl>
      <w:tblPr>
        <w:tblW w:w="5025" w:type="pct"/>
        <w:tblBorders>
          <w:top w:val="single" w:sz="4" w:space="0" w:color="auto"/>
          <w:bottom w:val="single" w:sz="4" w:space="0" w:color="auto"/>
        </w:tblBorders>
        <w:tblLayout w:type="fixed"/>
        <w:tblLook w:val="04A0" w:firstRow="1" w:lastRow="0" w:firstColumn="1" w:lastColumn="0" w:noHBand="0" w:noVBand="1"/>
      </w:tblPr>
      <w:tblGrid>
        <w:gridCol w:w="3262"/>
        <w:gridCol w:w="5810"/>
      </w:tblGrid>
      <w:tr w:rsidR="00036077" w:rsidRPr="001E60AA" w14:paraId="4712CF66" w14:textId="77777777" w:rsidTr="0072322C">
        <w:tc>
          <w:tcPr>
            <w:tcW w:w="1798" w:type="pct"/>
            <w:tcBorders>
              <w:top w:val="single" w:sz="4" w:space="0" w:color="auto"/>
              <w:left w:val="nil"/>
              <w:bottom w:val="single" w:sz="4" w:space="0" w:color="auto"/>
              <w:right w:val="nil"/>
            </w:tcBorders>
          </w:tcPr>
          <w:p w14:paraId="35A0FF5E" w14:textId="77777777" w:rsidR="00036077" w:rsidRPr="001E60AA" w:rsidRDefault="00036077" w:rsidP="0072322C">
            <w:pPr>
              <w:ind w:firstLine="0"/>
              <w:rPr>
                <w:rFonts w:ascii="Cambria" w:hAnsi="Cambria"/>
                <w:color w:val="000000" w:themeColor="text1"/>
                <w:szCs w:val="22"/>
                <w:lang w:val="en-US"/>
              </w:rPr>
            </w:pPr>
          </w:p>
          <w:p w14:paraId="7C717922" w14:textId="77777777" w:rsidR="00036077" w:rsidRPr="001E60AA" w:rsidRDefault="00036077" w:rsidP="0072322C">
            <w:pPr>
              <w:ind w:firstLine="0"/>
              <w:rPr>
                <w:rFonts w:ascii="Cambria" w:hAnsi="Cambria"/>
                <w:b/>
                <w:color w:val="000000" w:themeColor="text1"/>
                <w:szCs w:val="22"/>
                <w:lang w:val="en-US"/>
              </w:rPr>
            </w:pPr>
            <w:r w:rsidRPr="001E60AA">
              <w:rPr>
                <w:rFonts w:ascii="Cambria" w:hAnsi="Cambria"/>
                <w:b/>
                <w:color w:val="000000" w:themeColor="text1"/>
                <w:szCs w:val="22"/>
                <w:lang w:val="en-US"/>
              </w:rPr>
              <w:t>Article Info</w:t>
            </w:r>
          </w:p>
          <w:p w14:paraId="28411234" w14:textId="77777777" w:rsidR="00036077" w:rsidRPr="001E60AA" w:rsidRDefault="00036077" w:rsidP="0072322C">
            <w:pPr>
              <w:ind w:firstLine="0"/>
              <w:rPr>
                <w:rFonts w:ascii="Cambria" w:hAnsi="Cambria"/>
                <w:color w:val="000000" w:themeColor="text1"/>
                <w:szCs w:val="22"/>
                <w:lang w:val="en-US"/>
              </w:rPr>
            </w:pPr>
          </w:p>
          <w:p w14:paraId="63640A50" w14:textId="77777777" w:rsidR="00036077" w:rsidRPr="001E60AA" w:rsidRDefault="00036077" w:rsidP="0072322C">
            <w:pPr>
              <w:pStyle w:val="Els-history-head"/>
              <w:spacing w:line="240" w:lineRule="auto"/>
              <w:rPr>
                <w:rFonts w:ascii="Cambria" w:hAnsi="Cambria"/>
                <w:b/>
                <w:i w:val="0"/>
                <w:color w:val="000000" w:themeColor="text1"/>
                <w:sz w:val="22"/>
                <w:szCs w:val="22"/>
              </w:rPr>
            </w:pPr>
            <w:r w:rsidRPr="001E60AA">
              <w:rPr>
                <w:rFonts w:ascii="Cambria" w:hAnsi="Cambria"/>
                <w:b/>
                <w:i w:val="0"/>
                <w:color w:val="000000" w:themeColor="text1"/>
                <w:sz w:val="22"/>
                <w:szCs w:val="22"/>
              </w:rPr>
              <w:t xml:space="preserve">Article history: </w:t>
            </w:r>
          </w:p>
          <w:p w14:paraId="0FEC8C76" w14:textId="77777777" w:rsidR="00036077" w:rsidRPr="001E60AA" w:rsidRDefault="00036077" w:rsidP="0072322C">
            <w:pPr>
              <w:pBdr>
                <w:top w:val="single" w:sz="4" w:space="1" w:color="auto"/>
              </w:pBdr>
              <w:tabs>
                <w:tab w:val="left" w:pos="1029"/>
              </w:tabs>
              <w:ind w:left="885" w:hanging="885"/>
              <w:jc w:val="left"/>
              <w:rPr>
                <w:rFonts w:ascii="Cambria" w:eastAsia="SimSun" w:hAnsi="Cambria"/>
                <w:noProof/>
                <w:color w:val="000000" w:themeColor="text1"/>
                <w:szCs w:val="22"/>
                <w:lang w:val="en-US" w:eastAsia="en-US"/>
              </w:rPr>
            </w:pPr>
            <w:r w:rsidRPr="001E60AA">
              <w:rPr>
                <w:rFonts w:ascii="Cambria" w:eastAsia="SimSun" w:hAnsi="Cambria"/>
                <w:noProof/>
                <w:color w:val="000000" w:themeColor="text1"/>
                <w:szCs w:val="22"/>
                <w:lang w:val="en-US" w:eastAsia="en-US"/>
              </w:rPr>
              <w:t>Received : Month Date, Year</w:t>
            </w:r>
          </w:p>
          <w:p w14:paraId="00D545D7" w14:textId="77777777" w:rsidR="00036077" w:rsidRPr="001E60AA" w:rsidRDefault="00036077" w:rsidP="0072322C">
            <w:pPr>
              <w:pBdr>
                <w:top w:val="single" w:sz="4" w:space="1" w:color="auto"/>
              </w:pBdr>
              <w:tabs>
                <w:tab w:val="left" w:pos="1029"/>
              </w:tabs>
              <w:ind w:left="885" w:hanging="885"/>
              <w:jc w:val="left"/>
              <w:rPr>
                <w:rFonts w:ascii="Cambria" w:eastAsia="SimSun" w:hAnsi="Cambria"/>
                <w:noProof/>
                <w:color w:val="000000" w:themeColor="text1"/>
                <w:szCs w:val="22"/>
                <w:lang w:val="en-US" w:eastAsia="en-US"/>
              </w:rPr>
            </w:pPr>
            <w:r w:rsidRPr="001E60AA">
              <w:rPr>
                <w:rFonts w:ascii="Cambria" w:eastAsia="SimSun" w:hAnsi="Cambria"/>
                <w:noProof/>
                <w:color w:val="000000" w:themeColor="text1"/>
                <w:szCs w:val="22"/>
                <w:lang w:val="en-US" w:eastAsia="en-US"/>
              </w:rPr>
              <w:t xml:space="preserve">Revised   : Month Date, Year </w:t>
            </w:r>
          </w:p>
          <w:p w14:paraId="10E4FAB6" w14:textId="77777777" w:rsidR="00036077" w:rsidRPr="001E60AA" w:rsidRDefault="00036077" w:rsidP="0072322C">
            <w:pPr>
              <w:pBdr>
                <w:top w:val="single" w:sz="4" w:space="1" w:color="auto"/>
              </w:pBdr>
              <w:tabs>
                <w:tab w:val="left" w:pos="1029"/>
              </w:tabs>
              <w:ind w:left="885" w:hanging="885"/>
              <w:jc w:val="left"/>
              <w:rPr>
                <w:rFonts w:ascii="Cambria" w:eastAsia="SimSun" w:hAnsi="Cambria"/>
                <w:noProof/>
                <w:color w:val="000000" w:themeColor="text1"/>
                <w:szCs w:val="22"/>
                <w:lang w:val="en-US" w:eastAsia="en-US"/>
              </w:rPr>
            </w:pPr>
            <w:r w:rsidRPr="001E60AA">
              <w:rPr>
                <w:rFonts w:ascii="Cambria" w:eastAsia="SimSun" w:hAnsi="Cambria"/>
                <w:noProof/>
                <w:color w:val="000000" w:themeColor="text1"/>
                <w:szCs w:val="22"/>
                <w:lang w:val="en-US" w:eastAsia="en-US"/>
              </w:rPr>
              <w:t xml:space="preserve">Accepted : Month Date, Year </w:t>
            </w:r>
          </w:p>
          <w:p w14:paraId="3B72D509" w14:textId="77777777" w:rsidR="00036077" w:rsidRPr="001E60AA" w:rsidRDefault="00036077" w:rsidP="0072322C">
            <w:pPr>
              <w:pStyle w:val="Els-history"/>
              <w:spacing w:line="240" w:lineRule="auto"/>
              <w:rPr>
                <w:rFonts w:ascii="Cambria" w:hAnsi="Cambria"/>
                <w:i/>
                <w:color w:val="000000" w:themeColor="text1"/>
                <w:sz w:val="22"/>
                <w:szCs w:val="22"/>
                <w:lang w:val="id-ID"/>
              </w:rPr>
            </w:pPr>
          </w:p>
          <w:p w14:paraId="3F639319" w14:textId="77777777" w:rsidR="00036077" w:rsidRPr="001E60AA" w:rsidRDefault="00036077" w:rsidP="0072322C">
            <w:pPr>
              <w:rPr>
                <w:rFonts w:ascii="Cambria" w:hAnsi="Cambria"/>
                <w:i/>
                <w:color w:val="000000" w:themeColor="text1"/>
                <w:szCs w:val="22"/>
                <w:lang w:val="en-US"/>
              </w:rPr>
            </w:pPr>
          </w:p>
          <w:p w14:paraId="6A0EF98D" w14:textId="77777777" w:rsidR="00036077" w:rsidRPr="001E60AA" w:rsidRDefault="00036077" w:rsidP="0072322C">
            <w:pPr>
              <w:pStyle w:val="Els-keywords"/>
              <w:spacing w:line="240" w:lineRule="auto"/>
              <w:rPr>
                <w:rFonts w:ascii="Cambria" w:hAnsi="Cambria"/>
                <w:color w:val="000000" w:themeColor="text1"/>
              </w:rPr>
            </w:pPr>
            <w:r w:rsidRPr="001E60AA">
              <w:rPr>
                <w:rFonts w:ascii="Cambria" w:hAnsi="Cambria"/>
                <w:color w:val="000000" w:themeColor="text1"/>
              </w:rPr>
              <w:t>Keywords:</w:t>
            </w:r>
          </w:p>
          <w:p w14:paraId="03AFA965" w14:textId="77777777" w:rsidR="008348A6" w:rsidRDefault="008348A6" w:rsidP="0072322C">
            <w:pPr>
              <w:ind w:firstLine="0"/>
              <w:rPr>
                <w:rFonts w:ascii="Cambria" w:hAnsi="Cambria"/>
                <w:color w:val="000000" w:themeColor="text1"/>
                <w:szCs w:val="22"/>
                <w:lang w:val="en-US"/>
              </w:rPr>
            </w:pPr>
            <w:r w:rsidRPr="008348A6">
              <w:rPr>
                <w:rFonts w:ascii="Cambria" w:hAnsi="Cambria"/>
                <w:color w:val="000000" w:themeColor="text1"/>
                <w:szCs w:val="22"/>
                <w:lang w:val="en-US"/>
              </w:rPr>
              <w:t>Civil Defense</w:t>
            </w:r>
            <w:r>
              <w:rPr>
                <w:rFonts w:ascii="Cambria" w:hAnsi="Cambria"/>
                <w:color w:val="000000" w:themeColor="text1"/>
                <w:szCs w:val="22"/>
                <w:lang w:val="en-US"/>
              </w:rPr>
              <w:t>;</w:t>
            </w:r>
          </w:p>
          <w:p w14:paraId="3249713D" w14:textId="77777777" w:rsidR="008348A6" w:rsidRDefault="008348A6" w:rsidP="0072322C">
            <w:pPr>
              <w:ind w:firstLine="0"/>
              <w:rPr>
                <w:rFonts w:ascii="Cambria" w:hAnsi="Cambria"/>
                <w:color w:val="000000" w:themeColor="text1"/>
                <w:szCs w:val="22"/>
                <w:lang w:val="en-US"/>
              </w:rPr>
            </w:pPr>
            <w:r>
              <w:rPr>
                <w:rFonts w:ascii="Cambria" w:hAnsi="Cambria"/>
                <w:color w:val="000000" w:themeColor="text1"/>
                <w:szCs w:val="22"/>
                <w:lang w:val="en-US"/>
              </w:rPr>
              <w:t>R</w:t>
            </w:r>
            <w:r w:rsidRPr="008348A6">
              <w:rPr>
                <w:rFonts w:ascii="Cambria" w:hAnsi="Cambria"/>
                <w:color w:val="000000" w:themeColor="text1"/>
                <w:szCs w:val="22"/>
                <w:lang w:val="en-US"/>
              </w:rPr>
              <w:t>eligious Organization</w:t>
            </w:r>
            <w:r>
              <w:rPr>
                <w:rFonts w:ascii="Cambria" w:hAnsi="Cambria"/>
                <w:color w:val="000000" w:themeColor="text1"/>
                <w:szCs w:val="22"/>
                <w:lang w:val="en-US"/>
              </w:rPr>
              <w:t>;</w:t>
            </w:r>
          </w:p>
          <w:p w14:paraId="05022E35" w14:textId="4689F771" w:rsidR="008348A6" w:rsidRPr="001E60AA" w:rsidRDefault="008348A6" w:rsidP="0072322C">
            <w:pPr>
              <w:ind w:firstLine="0"/>
              <w:rPr>
                <w:rFonts w:ascii="Cambria" w:hAnsi="Cambria"/>
                <w:color w:val="000000" w:themeColor="text1"/>
                <w:szCs w:val="22"/>
                <w:lang w:val="en-US"/>
              </w:rPr>
            </w:pPr>
            <w:r w:rsidRPr="00036077">
              <w:rPr>
                <w:rFonts w:ascii="Cambria" w:hAnsi="Cambria"/>
                <w:color w:val="000000" w:themeColor="text1"/>
                <w:szCs w:val="22"/>
                <w:lang w:val="en-US"/>
              </w:rPr>
              <w:t>SISHANTA</w:t>
            </w:r>
            <w:r>
              <w:rPr>
                <w:rFonts w:ascii="Cambria" w:hAnsi="Cambria"/>
                <w:color w:val="000000" w:themeColor="text1"/>
                <w:szCs w:val="22"/>
                <w:lang w:val="en-US"/>
              </w:rPr>
              <w:t>.</w:t>
            </w:r>
          </w:p>
          <w:p w14:paraId="3FB368AB" w14:textId="77777777" w:rsidR="008348A6" w:rsidRDefault="008348A6" w:rsidP="0072322C">
            <w:pPr>
              <w:ind w:firstLine="0"/>
              <w:rPr>
                <w:rFonts w:ascii="Cambria" w:hAnsi="Cambria"/>
                <w:color w:val="000000" w:themeColor="text1"/>
                <w:szCs w:val="22"/>
                <w:lang w:val="en-US"/>
              </w:rPr>
            </w:pPr>
            <w:r w:rsidRPr="00036077">
              <w:rPr>
                <w:rFonts w:ascii="Cambria" w:hAnsi="Cambria"/>
                <w:color w:val="000000" w:themeColor="text1"/>
                <w:szCs w:val="22"/>
                <w:lang w:val="en-US"/>
              </w:rPr>
              <w:t xml:space="preserve">Muhammadiyah; </w:t>
            </w:r>
          </w:p>
          <w:p w14:paraId="60C3318D" w14:textId="61468C50" w:rsidR="008348A6" w:rsidRDefault="008348A6" w:rsidP="0072322C">
            <w:pPr>
              <w:ind w:firstLine="0"/>
              <w:rPr>
                <w:rFonts w:ascii="Cambria" w:hAnsi="Cambria"/>
                <w:color w:val="000000" w:themeColor="text1"/>
                <w:szCs w:val="22"/>
                <w:lang w:val="en-US"/>
              </w:rPr>
            </w:pPr>
            <w:r w:rsidRPr="00036077">
              <w:rPr>
                <w:rFonts w:ascii="Cambria" w:hAnsi="Cambria"/>
                <w:color w:val="000000" w:themeColor="text1"/>
                <w:szCs w:val="22"/>
                <w:lang w:val="en-US"/>
              </w:rPr>
              <w:t>Pandemic</w:t>
            </w:r>
            <w:r w:rsidR="00417743">
              <w:rPr>
                <w:rFonts w:ascii="Cambria" w:hAnsi="Cambria"/>
                <w:color w:val="000000" w:themeColor="text1"/>
                <w:szCs w:val="22"/>
                <w:lang w:val="en-US"/>
              </w:rPr>
              <w:t xml:space="preserve">. </w:t>
            </w:r>
          </w:p>
          <w:p w14:paraId="03F0954E" w14:textId="77777777" w:rsidR="00036077" w:rsidRPr="001E60AA" w:rsidRDefault="00036077" w:rsidP="0072322C">
            <w:pPr>
              <w:ind w:firstLine="0"/>
              <w:rPr>
                <w:rFonts w:ascii="Cambria" w:hAnsi="Cambria"/>
                <w:color w:val="000000" w:themeColor="text1"/>
                <w:szCs w:val="22"/>
                <w:lang w:val="en-US"/>
              </w:rPr>
            </w:pPr>
          </w:p>
          <w:p w14:paraId="3F9C8B08" w14:textId="77777777" w:rsidR="00036077" w:rsidRPr="001E60AA" w:rsidRDefault="00036077" w:rsidP="0072322C">
            <w:pPr>
              <w:ind w:firstLine="0"/>
              <w:rPr>
                <w:rFonts w:ascii="Cambria" w:hAnsi="Cambria"/>
                <w:b/>
                <w:bCs/>
                <w:color w:val="000000" w:themeColor="text1"/>
                <w:szCs w:val="22"/>
                <w:lang w:val="en-US"/>
              </w:rPr>
            </w:pPr>
            <w:r w:rsidRPr="001E60AA">
              <w:rPr>
                <w:rFonts w:ascii="Cambria" w:hAnsi="Cambria"/>
                <w:b/>
                <w:bCs/>
                <w:color w:val="000000" w:themeColor="text1"/>
                <w:szCs w:val="22"/>
                <w:lang w:val="en-US"/>
              </w:rPr>
              <w:t>DOI:</w:t>
            </w:r>
          </w:p>
          <w:p w14:paraId="738E867F" w14:textId="137D63AA" w:rsidR="00036077" w:rsidRPr="001E60AA" w:rsidRDefault="00036077" w:rsidP="0072322C">
            <w:pPr>
              <w:ind w:firstLine="0"/>
              <w:rPr>
                <w:rFonts w:ascii="Cambria" w:hAnsi="Cambria"/>
                <w:color w:val="000000" w:themeColor="text1"/>
                <w:szCs w:val="22"/>
                <w:lang w:val="en-US"/>
              </w:rPr>
            </w:pPr>
          </w:p>
        </w:tc>
        <w:tc>
          <w:tcPr>
            <w:tcW w:w="3202" w:type="pct"/>
            <w:tcBorders>
              <w:top w:val="single" w:sz="4" w:space="0" w:color="auto"/>
              <w:left w:val="nil"/>
              <w:bottom w:val="single" w:sz="4" w:space="0" w:color="auto"/>
              <w:right w:val="nil"/>
            </w:tcBorders>
          </w:tcPr>
          <w:p w14:paraId="3DCAB91D" w14:textId="77777777" w:rsidR="00036077" w:rsidRPr="001E60AA" w:rsidRDefault="00036077" w:rsidP="0072322C">
            <w:pPr>
              <w:ind w:firstLine="0"/>
              <w:rPr>
                <w:rFonts w:ascii="Cambria" w:hAnsi="Cambria"/>
                <w:color w:val="000000" w:themeColor="text1"/>
                <w:szCs w:val="22"/>
                <w:lang w:val="en-US"/>
              </w:rPr>
            </w:pPr>
          </w:p>
          <w:p w14:paraId="252C547F" w14:textId="77777777" w:rsidR="00036077" w:rsidRPr="001E60AA" w:rsidRDefault="00036077" w:rsidP="0072322C">
            <w:pPr>
              <w:ind w:firstLine="0"/>
              <w:rPr>
                <w:rFonts w:ascii="Cambria" w:hAnsi="Cambria"/>
                <w:b/>
                <w:color w:val="000000" w:themeColor="text1"/>
                <w:szCs w:val="22"/>
                <w:lang w:val="en-US"/>
              </w:rPr>
            </w:pPr>
            <w:r w:rsidRPr="001E60AA">
              <w:rPr>
                <w:rFonts w:ascii="Cambria" w:hAnsi="Cambria"/>
                <w:b/>
                <w:color w:val="000000" w:themeColor="text1"/>
                <w:szCs w:val="22"/>
                <w:lang w:val="en-US"/>
              </w:rPr>
              <w:t>Abstract</w:t>
            </w:r>
          </w:p>
          <w:p w14:paraId="30B24023" w14:textId="77777777" w:rsidR="00036077" w:rsidRPr="001E60AA" w:rsidRDefault="00036077" w:rsidP="0072322C">
            <w:pPr>
              <w:ind w:firstLine="0"/>
              <w:rPr>
                <w:rFonts w:ascii="Cambria" w:hAnsi="Cambria"/>
                <w:color w:val="000000" w:themeColor="text1"/>
                <w:szCs w:val="22"/>
                <w:lang w:val="en-US"/>
              </w:rPr>
            </w:pPr>
          </w:p>
          <w:p w14:paraId="6F5F2454" w14:textId="78D30D8A" w:rsidR="002E1A88" w:rsidRDefault="00036077" w:rsidP="002E1A88">
            <w:pPr>
              <w:pStyle w:val="Els-history-head"/>
              <w:contextualSpacing/>
              <w:jc w:val="both"/>
              <w:rPr>
                <w:rFonts w:ascii="Cambria" w:hAnsi="Cambria"/>
                <w:i w:val="0"/>
                <w:iCs/>
                <w:color w:val="000000" w:themeColor="text1"/>
                <w:sz w:val="22"/>
                <w:szCs w:val="22"/>
              </w:rPr>
            </w:pPr>
            <w:r w:rsidRPr="00036077">
              <w:rPr>
                <w:rFonts w:ascii="Cambria" w:hAnsi="Cambria"/>
                <w:i w:val="0"/>
                <w:iCs/>
                <w:color w:val="000000" w:themeColor="text1"/>
                <w:sz w:val="22"/>
                <w:szCs w:val="22"/>
              </w:rPr>
              <w:t>The COVID-19 pandemic has transformed Indonesia’s national defense paradigm from a militaristic orientation to a model of total social defense based on community participation. This study aims to analyze how Muhammadiyah, as a religious organization in Indonesia, implemented the practice of Total People’s Defense (Sistem Pertahanan Semesta/SISHANTA) through civil society–based strategies during the pandemic crisis. Employing a qualitative case study approach, this research explores Muhammadiyah’s strategies and resource mobilization patterns through the Muhammadiyah COVID-19 Command Center (MCCC). Data were collected through document analysis, in-depth interviews, and field observations in three key regions: Yogyakarta, Jakarta, and West Sumatra</w:t>
            </w:r>
            <w:r w:rsidR="002E1A88">
              <w:t xml:space="preserve"> </w:t>
            </w:r>
            <w:r w:rsidR="002E1A88" w:rsidRPr="002E1A88">
              <w:rPr>
                <w:rFonts w:ascii="Cambria" w:hAnsi="Cambria"/>
                <w:i w:val="0"/>
                <w:iCs/>
                <w:color w:val="000000" w:themeColor="text1"/>
                <w:sz w:val="22"/>
                <w:szCs w:val="22"/>
              </w:rPr>
              <w:t>Findings show that Muhammadiyah operationalized three key pillars of defense: health (defense of life), education (defense of knowledge), and economy (defense of welfare). These dimensions illustrate a model of civil defense that integrates faith, science, and humanitarian action to strengthen national resilience</w:t>
            </w:r>
            <w:r w:rsidRPr="00036077">
              <w:rPr>
                <w:rFonts w:ascii="Cambria" w:hAnsi="Cambria"/>
                <w:i w:val="0"/>
                <w:iCs/>
                <w:color w:val="000000" w:themeColor="text1"/>
                <w:sz w:val="22"/>
                <w:szCs w:val="22"/>
              </w:rPr>
              <w:t xml:space="preserve">. </w:t>
            </w:r>
            <w:r w:rsidR="002E1A88" w:rsidRPr="002E1A88">
              <w:rPr>
                <w:rFonts w:ascii="Cambria" w:hAnsi="Cambria"/>
                <w:i w:val="0"/>
                <w:iCs/>
                <w:color w:val="000000" w:themeColor="text1"/>
                <w:sz w:val="22"/>
                <w:szCs w:val="22"/>
              </w:rPr>
              <w:t>Muhammadiyah’s experience illustrates that total defense can be realized through moral conviction, social solidarity, and institutional collaboration. Faith-based organizations serve not only as humanitarian agents but also as partners in safeguarding national stability and human security.</w:t>
            </w:r>
            <w:r w:rsidR="002E1A88">
              <w:rPr>
                <w:rFonts w:ascii="Cambria" w:hAnsi="Cambria"/>
                <w:i w:val="0"/>
                <w:iCs/>
                <w:color w:val="000000" w:themeColor="text1"/>
                <w:sz w:val="22"/>
                <w:szCs w:val="22"/>
              </w:rPr>
              <w:t xml:space="preserve"> </w:t>
            </w:r>
            <w:r w:rsidR="002E1A88" w:rsidRPr="002E1A88">
              <w:rPr>
                <w:rFonts w:ascii="Cambria" w:hAnsi="Cambria"/>
                <w:i w:val="0"/>
                <w:iCs/>
                <w:color w:val="000000" w:themeColor="text1"/>
                <w:sz w:val="22"/>
                <w:szCs w:val="22"/>
              </w:rPr>
              <w:t>The study suggests the need for stronger integration of civil and faith-based organizations into Indonesia’s national defense policy and the inclusion of civic and humanitarian values in educational curricula to cultivate resilience.</w:t>
            </w:r>
            <w:r w:rsidR="002E1A88">
              <w:rPr>
                <w:rFonts w:ascii="Cambria" w:hAnsi="Cambria"/>
                <w:i w:val="0"/>
                <w:iCs/>
                <w:color w:val="000000" w:themeColor="text1"/>
                <w:sz w:val="22"/>
                <w:szCs w:val="22"/>
              </w:rPr>
              <w:t xml:space="preserve"> </w:t>
            </w:r>
            <w:r w:rsidR="002E1A88" w:rsidRPr="002E1A88">
              <w:rPr>
                <w:rFonts w:ascii="Cambria" w:hAnsi="Cambria"/>
                <w:i w:val="0"/>
                <w:iCs/>
                <w:color w:val="000000" w:themeColor="text1"/>
                <w:sz w:val="22"/>
                <w:szCs w:val="22"/>
              </w:rPr>
              <w:t>This study focuses on a single case</w:t>
            </w:r>
            <w:r w:rsidR="002E1A88">
              <w:rPr>
                <w:rFonts w:ascii="Cambria" w:hAnsi="Cambria"/>
                <w:i w:val="0"/>
                <w:iCs/>
                <w:color w:val="000000" w:themeColor="text1"/>
                <w:sz w:val="22"/>
                <w:szCs w:val="22"/>
              </w:rPr>
              <w:t xml:space="preserve"> </w:t>
            </w:r>
            <w:r w:rsidR="002E1A88" w:rsidRPr="002E1A88">
              <w:rPr>
                <w:rFonts w:ascii="Cambria" w:hAnsi="Cambria"/>
                <w:i w:val="0"/>
                <w:iCs/>
                <w:color w:val="000000" w:themeColor="text1"/>
                <w:sz w:val="22"/>
                <w:szCs w:val="22"/>
              </w:rPr>
              <w:t>Muhammadiyah’s response in three regions during the 2020–2022 pandemic</w:t>
            </w:r>
            <w:r w:rsidR="002E1A88">
              <w:rPr>
                <w:rFonts w:ascii="Cambria" w:hAnsi="Cambria"/>
                <w:i w:val="0"/>
                <w:iCs/>
                <w:color w:val="000000" w:themeColor="text1"/>
                <w:sz w:val="22"/>
                <w:szCs w:val="22"/>
              </w:rPr>
              <w:t xml:space="preserve"> </w:t>
            </w:r>
            <w:r w:rsidR="002E1A88" w:rsidRPr="002E1A88">
              <w:rPr>
                <w:rFonts w:ascii="Cambria" w:hAnsi="Cambria"/>
                <w:i w:val="0"/>
                <w:iCs/>
                <w:color w:val="000000" w:themeColor="text1"/>
                <w:sz w:val="22"/>
                <w:szCs w:val="22"/>
              </w:rPr>
              <w:t>thus limiting generalization. Future research should adopt comparative approaches to explore broader models of civil-based defense in Indonesia.</w:t>
            </w:r>
          </w:p>
          <w:p w14:paraId="6D99F9D8" w14:textId="77777777" w:rsidR="00036077" w:rsidRPr="001E60AA" w:rsidRDefault="00036077" w:rsidP="00693A9E">
            <w:pPr>
              <w:pStyle w:val="Els-history-head"/>
              <w:contextualSpacing/>
              <w:jc w:val="both"/>
              <w:rPr>
                <w:rFonts w:ascii="Cambria" w:hAnsi="Cambria"/>
                <w:color w:val="000000" w:themeColor="text1"/>
                <w:szCs w:val="22"/>
              </w:rPr>
            </w:pPr>
          </w:p>
        </w:tc>
      </w:tr>
    </w:tbl>
    <w:p w14:paraId="37AB66AE" w14:textId="77777777" w:rsidR="00036077" w:rsidRPr="001E60AA" w:rsidRDefault="00036077" w:rsidP="00036077">
      <w:pPr>
        <w:ind w:firstLine="0"/>
        <w:rPr>
          <w:rFonts w:ascii="Cambria" w:hAnsi="Cambria"/>
          <w:color w:val="000000" w:themeColor="text1"/>
          <w:szCs w:val="22"/>
          <w:lang w:val="en-US"/>
        </w:rPr>
        <w:sectPr w:rsidR="00036077" w:rsidRPr="001E60AA" w:rsidSect="00036077">
          <w:headerReference w:type="even" r:id="rId6"/>
          <w:headerReference w:type="default" r:id="rId7"/>
          <w:footerReference w:type="even" r:id="rId8"/>
          <w:footerReference w:type="default" r:id="rId9"/>
          <w:footerReference w:type="first" r:id="rId10"/>
          <w:pgSz w:w="11907" w:h="16839" w:code="9"/>
          <w:pgMar w:top="1440" w:right="1440" w:bottom="1440" w:left="1440" w:header="720" w:footer="720" w:gutter="0"/>
          <w:cols w:space="720"/>
          <w:titlePg/>
          <w:docGrid w:linePitch="360"/>
        </w:sectPr>
      </w:pPr>
      <w:bookmarkStart w:id="1" w:name="_Hlk132720256"/>
      <w:r w:rsidRPr="001E60AA">
        <w:rPr>
          <w:rFonts w:ascii="Cambria" w:hAnsi="Cambria"/>
          <w:color w:val="000000" w:themeColor="text1"/>
          <w:szCs w:val="22"/>
          <w:lang w:val="en-US"/>
        </w:rPr>
        <w:t>2549-9459/Published by Indonesia Defense University</w:t>
      </w:r>
      <w:r w:rsidRPr="001E60AA">
        <w:rPr>
          <w:color w:val="000000" w:themeColor="text1"/>
          <w:sz w:val="20"/>
          <w:szCs w:val="22"/>
        </w:rPr>
        <w:t xml:space="preserve"> </w:t>
      </w:r>
      <w:r w:rsidRPr="001E60AA">
        <w:rPr>
          <w:rFonts w:ascii="Cambria" w:hAnsi="Cambria"/>
          <w:color w:val="000000" w:themeColor="text1"/>
          <w:szCs w:val="22"/>
          <w:lang w:val="en-US"/>
        </w:rPr>
        <w:t>This is an open-access article under the CC BY-NC license (</w:t>
      </w:r>
      <w:hyperlink r:id="rId11" w:history="1">
        <w:r w:rsidRPr="001E60AA">
          <w:rPr>
            <w:rStyle w:val="Hyperlink"/>
            <w:rFonts w:ascii="Cambria" w:hAnsi="Cambria"/>
            <w:color w:val="000000" w:themeColor="text1"/>
            <w:szCs w:val="22"/>
            <w:u w:val="none"/>
            <w:lang w:val="en-US"/>
          </w:rPr>
          <w:t>https://creativecommons.org/licenses/by-nc/4.0/)</w:t>
        </w:r>
      </w:hyperlink>
    </w:p>
    <w:bookmarkEnd w:id="1"/>
    <w:p w14:paraId="4394529D" w14:textId="2C3232AB" w:rsidR="002B0B6D" w:rsidRDefault="002B0B6D" w:rsidP="00036077">
      <w:pPr>
        <w:spacing w:line="276" w:lineRule="auto"/>
        <w:ind w:firstLine="0"/>
        <w:rPr>
          <w:rFonts w:ascii="Cambria" w:hAnsi="Cambria"/>
          <w:color w:val="000000" w:themeColor="text1"/>
          <w:sz w:val="24"/>
        </w:rPr>
      </w:pPr>
    </w:p>
    <w:p w14:paraId="1CCE9799" w14:textId="77777777" w:rsidR="002B0B6D" w:rsidRPr="001E60AA" w:rsidRDefault="002B0B6D" w:rsidP="00036077">
      <w:pPr>
        <w:spacing w:line="276" w:lineRule="auto"/>
        <w:ind w:firstLine="0"/>
        <w:rPr>
          <w:rFonts w:ascii="Cambria" w:hAnsi="Cambria"/>
          <w:color w:val="000000" w:themeColor="text1"/>
          <w:sz w:val="24"/>
        </w:rPr>
      </w:pPr>
    </w:p>
    <w:p w14:paraId="163CB630" w14:textId="77777777" w:rsidR="00036077" w:rsidRPr="001E60AA" w:rsidRDefault="00036077" w:rsidP="00036077">
      <w:pPr>
        <w:spacing w:line="276" w:lineRule="auto"/>
        <w:ind w:firstLine="0"/>
        <w:rPr>
          <w:rFonts w:ascii="Cambria" w:hAnsi="Cambria"/>
          <w:b/>
          <w:bCs/>
          <w:color w:val="000000" w:themeColor="text1"/>
          <w:sz w:val="24"/>
        </w:rPr>
      </w:pPr>
    </w:p>
    <w:p w14:paraId="3225FE7E" w14:textId="77777777" w:rsidR="00036077" w:rsidRPr="001E60AA" w:rsidRDefault="00036077" w:rsidP="00036077">
      <w:pPr>
        <w:spacing w:line="276" w:lineRule="auto"/>
        <w:ind w:firstLine="0"/>
        <w:rPr>
          <w:rFonts w:ascii="Cambria" w:hAnsi="Cambria"/>
          <w:b/>
          <w:bCs/>
          <w:color w:val="000000" w:themeColor="text1"/>
          <w:sz w:val="24"/>
        </w:rPr>
      </w:pPr>
      <w:r w:rsidRPr="001E60AA">
        <w:rPr>
          <w:rFonts w:ascii="Cambria" w:hAnsi="Cambria"/>
          <w:b/>
          <w:bCs/>
          <w:color w:val="000000" w:themeColor="text1"/>
          <w:sz w:val="24"/>
        </w:rPr>
        <w:lastRenderedPageBreak/>
        <w:t xml:space="preserve">INTRODUCTION </w:t>
      </w:r>
    </w:p>
    <w:p w14:paraId="6AA02D3F"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The outbreak of the Coronavirus Disease 2019 (COVID-19) has shaken global order and posed an existential challenge to Indonesia’s national resilience (Samudro &amp; Madjid, 2020). Beyond its impact on public health, COVID-19 also generated significant social and economic disruptions, including declining income, rising unemployment, and disturbances in transportation, facilities, and industries affected by the pandemic (Alarifi et al., 2020). The spread of COVID-19 was rapid, transboundary, and affected all layers of society, offering an important lesson for Indonesia on strengthening its national defense system.</w:t>
      </w:r>
    </w:p>
    <w:p w14:paraId="4F9E2CB2"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National defense is a shared responsibility among all components of the nation. Article 30 of the 1945 Constitution of the Republic of Indonesia emphasizes that national defense and security are the duties of every Indonesian citizen (Danga et al., 2023). In this context, Indonesia embodies its defense system through the Total People’s Defense System (Sistem Pertahanan Rakyat Semesta/SISHANTA), which relies on the participation of all national components. Given the limitations of military and security personnel, Indonesia cannot rely solely on the armed forces (TNI) and police (POLRI) to safeguard the nation. Therefore, the development of national defense capacity should not be interpreted merely as war preparedness but as an effort to maintain regional and global balance by engaging all elements of the nation (Fathurrohman &amp; Supriyadi, 2024).</w:t>
      </w:r>
    </w:p>
    <w:p w14:paraId="74AA796B"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This doctrine is mandated in Law No. 3 of 2002 on National Defense, which stipulates that national defense must be total and integrated, mobilizing all national resources (Kusuma, Prakoso, &amp; Dadang, 2022). In the context of COVID-19, the participation of civilians and non-military resources became the frontline of defense, reaffirming the relevance of SISHANTA in facing non-traditional threats where defense is no longer solely the domain of military power (Danga et al., 2023).</w:t>
      </w:r>
    </w:p>
    <w:p w14:paraId="0095E25B"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The Total People’s Defense System seeks to safeguard the nation’s sovereignty and security through the active involvement of all citizens. It underscores that defense is not exclusively the military’s responsibility but also requires the participation of civil society in diverse forms. SISHANTA can be actualized in response to the evolving nature of defense threats amid the changing strategic environment. These threats include not only traditional and military challenges but also non-military and non-traditional threats (Rusfiana, 2022).</w:t>
      </w:r>
    </w:p>
    <w:p w14:paraId="154A489D"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 xml:space="preserve">This perspective became increasingly relevant as Indonesia faced non-traditional threats such as the COVID-19 pandemic, which triggered multidimensional disruptions in health, economy, environment, education, and social life, even at the household level (Pan &amp; Yue, 2022). Addressing the pandemic required an adaptive and comprehensive governance model. Polycentric Governance provided an appropriate framework for understanding defense strategies because it empowers diverse and heterogeneous actors in defense management (Fathurrohman &amp; Supriyadi, 2024). Polycentricity refers to the existence of multiple governing authorities operating at different levels or scales, each possessing relative independence in establishing norms and rules within its jurisdiction (Huitema et al., 2019). This model highlights that national defense strengthening should </w:t>
      </w:r>
      <w:r w:rsidRPr="003337EE">
        <w:rPr>
          <w:rFonts w:ascii="Cambria" w:hAnsi="Cambria"/>
          <w:color w:val="000000" w:themeColor="text1"/>
          <w:sz w:val="24"/>
          <w:lang w:val="en-US"/>
        </w:rPr>
        <w:lastRenderedPageBreak/>
        <w:t>not depend on a single dominant authority—such as military dominance—but rather be understood as a shared civic responsibility.</w:t>
      </w:r>
    </w:p>
    <w:p w14:paraId="1F64318F"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Within a polycentric governance spectrum, crisis management success depends on synergy between defense objectives and public welfare goals. The pandemic left many states uncertain in both technical and non-technical responses (Suswanto, 2024). This challenge was aggravated by limited governmental capacity during the emergency. Consequently, collaboration with non-military civil organizations possessing strong social bases became essential in managing the crisis.</w:t>
      </w:r>
    </w:p>
    <w:p w14:paraId="38AA4A72" w14:textId="31D660BB"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In this regard, religious organizations play a significant role. Muhammadiyah, one of Indonesia’s largest Islamic organizations, demonstrated its contribution through the establishment of the Muhammadiyah COVID-19 Command Center (MCCC), which became a frontline actor in pandemic response (Falahudin, 2020). The MCCC mobilized Muhammadiyah’s vast resources</w:t>
      </w:r>
      <w:r>
        <w:rPr>
          <w:rFonts w:ascii="Cambria" w:hAnsi="Cambria"/>
          <w:color w:val="000000" w:themeColor="text1"/>
          <w:sz w:val="24"/>
          <w:lang w:val="en-US"/>
        </w:rPr>
        <w:t xml:space="preserve">, </w:t>
      </w:r>
      <w:r w:rsidRPr="003337EE">
        <w:rPr>
          <w:rFonts w:ascii="Cambria" w:hAnsi="Cambria"/>
          <w:color w:val="000000" w:themeColor="text1"/>
          <w:sz w:val="24"/>
          <w:lang w:val="en-US"/>
        </w:rPr>
        <w:t>ranging from hospitals and educational institutions to grassroots community networks (Ramdan &amp; Sahman, 2025). With its extensive network, Muhammadiyah not only implemented public health mitigation but also distributed social assistance, promoted public literacy on pandemic awareness, and advocated evidence-based policymaking through research and policy engagement (Sholahah, 2025). These concrete steps represent a civil actor’s realization of SISHANTA during a national emergency.</w:t>
      </w:r>
    </w:p>
    <w:p w14:paraId="51762B6A"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However, academic studies on Total People’s Defense remain predominantly focused on military dimensions, positioning the state as the central actor. Conversely, Non-Military Defense has often been institutionalized through government bodies coordinated within the “Triumvirate Ministries”—the Ministry of Home Affairs, Ministry of Foreign Affairs, and Ministry of Defense (Yusuf et al., 2023). Since non-military defense aims to anticipate non-traditional threats to the nation’s survival, the discourse should also encompass non-state, polycentric actors. The COVID-19 pandemic highlighted the emergence of such non-state civil actors as strategic pillars of social defense.</w:t>
      </w:r>
    </w:p>
    <w:p w14:paraId="042F5205" w14:textId="77777777" w:rsidR="003337EE" w:rsidRP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This study argues that Muhammadiyah’s engagement during the pandemic transcended humanitarian action; it represents a form of Total People’s Defense in civil society practice. With its modernist Islamic ideology, Muhammadiyah embodies a model of social mobilization grounded in religious values and rational modernity (Burhani, 2020). Despite widespread recognition of Muhammadiyah’s effectiveness, academic analysis has yet to position this massive contribution explicitly within the framework of the Total People’s Defense doctrine. Existing studies have largely examined Muhammadiyah’s role from the perspectives of civil society organizations (CSOs) or faith-based organizations (FBOs) (Purwaningsih &amp; Amrurobbi, 2021).</w:t>
      </w:r>
    </w:p>
    <w:p w14:paraId="6C9D938E" w14:textId="56452654" w:rsidR="003337EE" w:rsidRDefault="003337EE" w:rsidP="003337EE">
      <w:pPr>
        <w:spacing w:line="276" w:lineRule="auto"/>
        <w:rPr>
          <w:rFonts w:ascii="Cambria" w:hAnsi="Cambria"/>
          <w:color w:val="000000" w:themeColor="text1"/>
          <w:sz w:val="24"/>
          <w:lang w:val="en-US"/>
        </w:rPr>
      </w:pPr>
      <w:r w:rsidRPr="003337EE">
        <w:rPr>
          <w:rFonts w:ascii="Cambria" w:hAnsi="Cambria"/>
          <w:color w:val="000000" w:themeColor="text1"/>
          <w:sz w:val="24"/>
          <w:lang w:val="en-US"/>
        </w:rPr>
        <w:t>Therefore, this research seeks to fill this gap by analyzing how Muhammadiyah’s comprehensive resource mobilization during the pandemic can be interpreted and justified as an operationalization of SISHANTA. The study aims to enrich academic discourse on the evolution of Indonesia’s national defense doctrine in addressing non-traditional threats.</w:t>
      </w:r>
    </w:p>
    <w:p w14:paraId="5257E761" w14:textId="77777777" w:rsidR="003337EE" w:rsidRDefault="003337EE" w:rsidP="00036077">
      <w:pPr>
        <w:spacing w:line="276" w:lineRule="auto"/>
        <w:rPr>
          <w:rFonts w:ascii="Cambria" w:hAnsi="Cambria"/>
          <w:color w:val="000000" w:themeColor="text1"/>
          <w:sz w:val="24"/>
          <w:lang w:val="en-US"/>
        </w:rPr>
      </w:pPr>
    </w:p>
    <w:p w14:paraId="6628B68B" w14:textId="77777777" w:rsidR="00BD726E" w:rsidRDefault="00BD726E" w:rsidP="00036077">
      <w:pPr>
        <w:spacing w:line="276" w:lineRule="auto"/>
        <w:ind w:firstLine="0"/>
        <w:rPr>
          <w:rFonts w:ascii="Cambria" w:hAnsi="Cambria"/>
          <w:b/>
          <w:bCs/>
          <w:color w:val="000000" w:themeColor="text1"/>
          <w:sz w:val="24"/>
          <w:szCs w:val="28"/>
          <w:shd w:val="clear" w:color="auto" w:fill="FFFFFF"/>
        </w:rPr>
      </w:pPr>
    </w:p>
    <w:p w14:paraId="3D5F4B0C" w14:textId="2B89F27F" w:rsidR="00036077" w:rsidRPr="001E60AA" w:rsidRDefault="00036077" w:rsidP="00036077">
      <w:pPr>
        <w:spacing w:line="276" w:lineRule="auto"/>
        <w:ind w:firstLine="0"/>
        <w:rPr>
          <w:rFonts w:ascii="Cambria" w:hAnsi="Cambria"/>
          <w:b/>
          <w:color w:val="000000" w:themeColor="text1"/>
          <w:sz w:val="24"/>
          <w:szCs w:val="40"/>
        </w:rPr>
      </w:pPr>
      <w:r w:rsidRPr="001E60AA">
        <w:rPr>
          <w:rFonts w:ascii="Cambria" w:hAnsi="Cambria"/>
          <w:b/>
          <w:bCs/>
          <w:color w:val="000000" w:themeColor="text1"/>
          <w:sz w:val="24"/>
          <w:szCs w:val="28"/>
          <w:shd w:val="clear" w:color="auto" w:fill="FFFFFF"/>
        </w:rPr>
        <w:lastRenderedPageBreak/>
        <w:t>METHOD</w:t>
      </w:r>
      <w:r w:rsidRPr="001E60AA">
        <w:rPr>
          <w:rFonts w:ascii="Cambria" w:hAnsi="Cambria"/>
          <w:b/>
          <w:bCs/>
          <w:color w:val="000000" w:themeColor="text1"/>
          <w:sz w:val="24"/>
          <w:szCs w:val="28"/>
          <w:shd w:val="clear" w:color="auto" w:fill="FFFFFF"/>
          <w:lang w:val="en-AU"/>
        </w:rPr>
        <w:t>S</w:t>
      </w:r>
      <w:r w:rsidRPr="001E60AA">
        <w:rPr>
          <w:rFonts w:ascii="Cambria" w:hAnsi="Cambria"/>
          <w:b/>
          <w:bCs/>
          <w:color w:val="000000" w:themeColor="text1"/>
          <w:sz w:val="24"/>
          <w:szCs w:val="28"/>
          <w:shd w:val="clear" w:color="auto" w:fill="FFFFFF"/>
        </w:rPr>
        <w:t xml:space="preserve"> </w:t>
      </w:r>
    </w:p>
    <w:p w14:paraId="21873149" w14:textId="77777777" w:rsidR="00C45ACA" w:rsidRPr="00C45ACA" w:rsidRDefault="00C45ACA" w:rsidP="00C45ACA">
      <w:pPr>
        <w:spacing w:line="276" w:lineRule="auto"/>
        <w:rPr>
          <w:rFonts w:eastAsia="Times New Roman"/>
          <w:color w:val="000000" w:themeColor="text1"/>
          <w:sz w:val="24"/>
          <w:lang w:val="en-US"/>
        </w:rPr>
      </w:pPr>
      <w:r w:rsidRPr="00C45ACA">
        <w:rPr>
          <w:rFonts w:eastAsia="Times New Roman"/>
          <w:color w:val="000000" w:themeColor="text1"/>
          <w:sz w:val="24"/>
          <w:lang w:val="en-US"/>
        </w:rPr>
        <w:t>This study adopted a qualitative research approach with a case study design to comprehensively understand how Muhammadiyah, as a religious organization, operationalized the concept of Total People’s Defense during the COVID-19 pandemic. The qualitative paradigm was chosen to capture the depth and dynamics of social and religious behavior that cannot be adequately measured through quantitative indicators. As argued by Baxter and Jack (2008), a case study design is appropriate when the researcher seeks to explain a complex phenomenon within its real-life context—particularly when the boundaries between the phenomenon and its context are not clearly defined.</w:t>
      </w:r>
    </w:p>
    <w:p w14:paraId="2883FED5" w14:textId="77777777" w:rsidR="00C45ACA" w:rsidRPr="00C45ACA" w:rsidRDefault="00C45ACA" w:rsidP="00C45ACA">
      <w:pPr>
        <w:spacing w:line="276" w:lineRule="auto"/>
        <w:rPr>
          <w:rFonts w:eastAsia="Times New Roman"/>
          <w:color w:val="000000" w:themeColor="text1"/>
          <w:sz w:val="24"/>
          <w:lang w:val="en-US"/>
        </w:rPr>
      </w:pPr>
      <w:r w:rsidRPr="00C45ACA">
        <w:rPr>
          <w:rFonts w:eastAsia="Times New Roman"/>
          <w:color w:val="000000" w:themeColor="text1"/>
          <w:sz w:val="24"/>
          <w:lang w:val="en-US"/>
        </w:rPr>
        <w:t>In this regard, the case of Muhammadiyah represents an ideal site for examining how civil society organizations embody national defense principles through community-based and faith-driven initiatives. Rather than attempting to generalize findings, the study seeks to generate a contextual and interpretive understanding of Muhammadiyah’s strategies in transforming religious and humanitarian values into instruments of national resilience during a crisis.</w:t>
      </w:r>
    </w:p>
    <w:p w14:paraId="640661C2" w14:textId="7957CB53" w:rsidR="00C45ACA" w:rsidRPr="00C45ACA" w:rsidRDefault="00C45ACA" w:rsidP="00AC6A54">
      <w:pPr>
        <w:spacing w:line="276" w:lineRule="auto"/>
        <w:rPr>
          <w:rFonts w:eastAsia="Times New Roman"/>
          <w:color w:val="000000" w:themeColor="text1"/>
          <w:sz w:val="24"/>
          <w:lang w:val="en-US"/>
        </w:rPr>
      </w:pPr>
      <w:r w:rsidRPr="00C45ACA">
        <w:rPr>
          <w:rFonts w:eastAsia="Times New Roman"/>
          <w:color w:val="000000" w:themeColor="text1"/>
          <w:sz w:val="24"/>
          <w:lang w:val="en-US"/>
        </w:rPr>
        <w:t>The research was conducted in three regions</w:t>
      </w:r>
      <w:r>
        <w:rPr>
          <w:rFonts w:eastAsia="Times New Roman"/>
          <w:color w:val="000000" w:themeColor="text1"/>
          <w:sz w:val="24"/>
          <w:lang w:val="en-US"/>
        </w:rPr>
        <w:t xml:space="preserve">, </w:t>
      </w:r>
      <w:r w:rsidRPr="00C45ACA">
        <w:rPr>
          <w:rFonts w:eastAsia="Times New Roman"/>
          <w:color w:val="000000" w:themeColor="text1"/>
          <w:sz w:val="24"/>
          <w:lang w:val="en-US"/>
        </w:rPr>
        <w:t>Yogyakarta, Jakarta, and West Sumatra</w:t>
      </w:r>
      <w:r>
        <w:rPr>
          <w:rFonts w:eastAsia="Times New Roman"/>
          <w:color w:val="000000" w:themeColor="text1"/>
          <w:sz w:val="24"/>
          <w:lang w:val="en-US"/>
        </w:rPr>
        <w:t xml:space="preserve">, </w:t>
      </w:r>
      <w:r w:rsidRPr="00C45ACA">
        <w:rPr>
          <w:rFonts w:eastAsia="Times New Roman"/>
          <w:color w:val="000000" w:themeColor="text1"/>
          <w:sz w:val="24"/>
          <w:lang w:val="en-US"/>
        </w:rPr>
        <w:t>selected purposively to represent the ideological, political, and cultural variations of Muhammadiyah’s movement.</w:t>
      </w:r>
      <w:r>
        <w:rPr>
          <w:rFonts w:eastAsia="Times New Roman"/>
          <w:color w:val="000000" w:themeColor="text1"/>
          <w:sz w:val="24"/>
          <w:lang w:val="en-US"/>
        </w:rPr>
        <w:t xml:space="preserve"> </w:t>
      </w:r>
      <w:r w:rsidRPr="00C45ACA">
        <w:rPr>
          <w:rFonts w:eastAsia="Times New Roman"/>
          <w:color w:val="000000" w:themeColor="text1"/>
          <w:sz w:val="24"/>
          <w:lang w:val="en-US"/>
        </w:rPr>
        <w:t>Yogyakarta serves as the ideological and historical center of Muhammadiyah, reflecting its intellectual and organizational foundations.</w:t>
      </w:r>
      <w:r>
        <w:rPr>
          <w:rFonts w:eastAsia="Times New Roman"/>
          <w:color w:val="000000" w:themeColor="text1"/>
          <w:sz w:val="24"/>
          <w:lang w:val="en-US"/>
        </w:rPr>
        <w:t xml:space="preserve"> </w:t>
      </w:r>
      <w:r w:rsidRPr="00C45ACA">
        <w:rPr>
          <w:rFonts w:eastAsia="Times New Roman"/>
          <w:color w:val="000000" w:themeColor="text1"/>
          <w:sz w:val="24"/>
          <w:lang w:val="en-US"/>
        </w:rPr>
        <w:t>Jakarta, as the nation’s political capital, represents the arena of public policy contestation where Muhammadiyah’s advocacy and partnerships with the government are most visible.</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West Sumatra, on the other hand, signifies the historical spread of Muhammadiyah beyond Java and embodies a distinct reformist-Islamic tradition deeply rooted in communal religiosity (Mulkhan, 2000; Rush, 2017).</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By situating the research in these diverse socio-geographical contexts, the study aimed to reveal how local expressions of faith-based activism intersect with the broader framework of national defense.</w:t>
      </w:r>
    </w:p>
    <w:p w14:paraId="40EF2C8C" w14:textId="00CB45C6" w:rsidR="00C45ACA" w:rsidRPr="00C45ACA" w:rsidRDefault="00C45ACA" w:rsidP="00AC6A54">
      <w:pPr>
        <w:spacing w:line="276" w:lineRule="auto"/>
        <w:rPr>
          <w:rFonts w:eastAsia="Times New Roman"/>
          <w:color w:val="000000" w:themeColor="text1"/>
          <w:sz w:val="24"/>
          <w:lang w:val="en-US"/>
        </w:rPr>
      </w:pPr>
      <w:r w:rsidRPr="00C45ACA">
        <w:rPr>
          <w:rFonts w:eastAsia="Times New Roman"/>
          <w:color w:val="000000" w:themeColor="text1"/>
          <w:sz w:val="24"/>
          <w:lang w:val="en-US"/>
        </w:rPr>
        <w:t>Data were collected through in-depth interviews, participant observations, and documentary analysis.</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Interviews were conducted with Muhammadiyah leaders, members, and volunteers across organizational levels, selected using a snowball sampling technique to reach key informants with relevant experience in the pandemic response. The interviews explored participants’ perspectives on mobilization strategies, decision-making processes, and inter-organizational collaboration during the crisis.</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Participant observations were carried out during the implementation of health services, social aid distribution, and public education programs organized by the Muhammadiyah COVID-19 Command Center (MCCC). These observations enabled the researcher to capture real-time interactions and community responses in the field.</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In addition, document analysis involved reviewing official circulars, fatwas, and policy statements issued by the Central Board of Muhammadiyah, as well as MCCC’s operational reports and government documents related to pandemic management. The combination of these sources allowed for a multi-layered understanding of both institutional narratives and grassroots actions.</w:t>
      </w:r>
    </w:p>
    <w:p w14:paraId="00E413A3" w14:textId="77777777" w:rsidR="00C45ACA" w:rsidRPr="00C45ACA" w:rsidRDefault="00C45ACA" w:rsidP="00C45ACA">
      <w:pPr>
        <w:spacing w:line="276" w:lineRule="auto"/>
        <w:rPr>
          <w:rFonts w:eastAsia="Times New Roman"/>
          <w:color w:val="000000" w:themeColor="text1"/>
          <w:sz w:val="24"/>
          <w:lang w:val="en-US"/>
        </w:rPr>
      </w:pPr>
      <w:r w:rsidRPr="00C45ACA">
        <w:rPr>
          <w:rFonts w:eastAsia="Times New Roman"/>
          <w:color w:val="000000" w:themeColor="text1"/>
          <w:sz w:val="24"/>
          <w:lang w:val="en-US"/>
        </w:rPr>
        <w:t xml:space="preserve">The collected data were processed through thematic analysis, following the steps of reduction, categorization, and interpretation (Creswell, 2007; Akinyode &amp; Khan, 2018). Thematic analysis was used to identify recurring patterns and strategic themes that illustrate Muhammadiyah’s role in national defense during the pandemic. Data analysis was conducted </w:t>
      </w:r>
      <w:r w:rsidRPr="00C45ACA">
        <w:rPr>
          <w:rFonts w:eastAsia="Times New Roman"/>
          <w:color w:val="000000" w:themeColor="text1"/>
          <w:sz w:val="24"/>
          <w:lang w:val="en-US"/>
        </w:rPr>
        <w:lastRenderedPageBreak/>
        <w:t>simultaneously with data collection, enabling continuous reflection and refinement of emerging insights.</w:t>
      </w:r>
    </w:p>
    <w:p w14:paraId="4103BEB6" w14:textId="38563CC5" w:rsidR="00036077" w:rsidRPr="001E60AA" w:rsidRDefault="00C45ACA" w:rsidP="00C45ACA">
      <w:pPr>
        <w:spacing w:line="276" w:lineRule="auto"/>
        <w:rPr>
          <w:rFonts w:ascii="Cambria" w:hAnsi="Cambria"/>
          <w:color w:val="000000" w:themeColor="text1"/>
          <w:sz w:val="24"/>
          <w:lang w:val="en-US"/>
        </w:rPr>
      </w:pPr>
      <w:r w:rsidRPr="00C45ACA">
        <w:rPr>
          <w:rFonts w:eastAsia="Times New Roman"/>
          <w:color w:val="000000" w:themeColor="text1"/>
          <w:sz w:val="24"/>
          <w:lang w:val="en-US"/>
        </w:rPr>
        <w:t>To ensure credibility and dependability, the research employed triangulation of sources and methods (Campbell et al., 2018). This approach not only enhances analytical rigor but also ensures that interpretations reflect the diverse realities experienced across different Muhammadiyah networks.</w:t>
      </w:r>
      <w:r w:rsidR="00AC6A54">
        <w:rPr>
          <w:rFonts w:eastAsia="Times New Roman"/>
          <w:color w:val="000000" w:themeColor="text1"/>
          <w:sz w:val="24"/>
          <w:lang w:val="en-US"/>
        </w:rPr>
        <w:t xml:space="preserve"> </w:t>
      </w:r>
      <w:r w:rsidRPr="00C45ACA">
        <w:rPr>
          <w:rFonts w:eastAsia="Times New Roman"/>
          <w:color w:val="000000" w:themeColor="text1"/>
          <w:sz w:val="24"/>
          <w:lang w:val="en-US"/>
        </w:rPr>
        <w:t>Ultimately, this methodological design provided the analytical depth required to interpret Muhammadiyah’s collective response as an embodiment of civil defense within Indonesia’s broader Total People’s Defense System (SISHANTA) framework. The approach demonstrates how religious organizations can function as vital social actors in non-military defense domains—bridging moral, scientific, and humanitarian imperatives for the protection of national resilience</w:t>
      </w:r>
      <w:r w:rsidR="00036077" w:rsidRPr="001E60AA">
        <w:rPr>
          <w:rFonts w:eastAsia="Times New Roman"/>
          <w:color w:val="000000" w:themeColor="text1"/>
          <w:sz w:val="24"/>
          <w:lang w:val="en-US"/>
        </w:rPr>
        <w:t xml:space="preserve">. </w:t>
      </w:r>
    </w:p>
    <w:p w14:paraId="47B82D39" w14:textId="77777777" w:rsidR="00036077" w:rsidRPr="001E60AA" w:rsidRDefault="00036077" w:rsidP="00036077">
      <w:pPr>
        <w:spacing w:line="276" w:lineRule="auto"/>
        <w:rPr>
          <w:rFonts w:ascii="Cambria" w:hAnsi="Cambria"/>
          <w:color w:val="000000" w:themeColor="text1"/>
          <w:sz w:val="24"/>
          <w:lang w:val="en-US"/>
        </w:rPr>
      </w:pPr>
    </w:p>
    <w:p w14:paraId="7FABCD21" w14:textId="77777777" w:rsidR="00036077" w:rsidRPr="001E60AA" w:rsidRDefault="00036077" w:rsidP="00036077">
      <w:pPr>
        <w:spacing w:line="276" w:lineRule="auto"/>
        <w:rPr>
          <w:rFonts w:ascii="Cambria" w:hAnsi="Cambria"/>
          <w:color w:val="000000" w:themeColor="text1"/>
          <w:sz w:val="24"/>
        </w:rPr>
      </w:pPr>
    </w:p>
    <w:p w14:paraId="7CE95AA1" w14:textId="77777777" w:rsidR="00036077" w:rsidRPr="001E60AA" w:rsidRDefault="00036077" w:rsidP="00036077">
      <w:pPr>
        <w:spacing w:line="276" w:lineRule="auto"/>
        <w:ind w:firstLine="0"/>
        <w:rPr>
          <w:rFonts w:ascii="Cambria" w:hAnsi="Cambria"/>
          <w:b/>
          <w:color w:val="000000" w:themeColor="text1"/>
          <w:sz w:val="24"/>
        </w:rPr>
      </w:pPr>
      <w:r w:rsidRPr="001E60AA">
        <w:rPr>
          <w:rFonts w:ascii="Cambria" w:hAnsi="Cambria"/>
          <w:b/>
          <w:bCs/>
          <w:color w:val="000000" w:themeColor="text1"/>
          <w:sz w:val="24"/>
        </w:rPr>
        <w:t xml:space="preserve">RESULT AND DISCUSSION </w:t>
      </w:r>
    </w:p>
    <w:p w14:paraId="3E1D24C3" w14:textId="77777777"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t>A. The Muhammadiyah COVID-19 Command Center (MCCC) as a Manifestation of Total People’s Defense</w:t>
      </w:r>
    </w:p>
    <w:p w14:paraId="7F1811B2" w14:textId="77777777" w:rsidR="00EA22DC" w:rsidRPr="00EA22DC" w:rsidRDefault="00EA22DC" w:rsidP="00EA22DC">
      <w:pPr>
        <w:spacing w:line="276" w:lineRule="auto"/>
        <w:ind w:firstLine="0"/>
        <w:rPr>
          <w:rFonts w:ascii="Cambria" w:hAnsi="Cambria"/>
          <w:bCs/>
          <w:color w:val="000000" w:themeColor="text1"/>
          <w:sz w:val="24"/>
          <w:lang w:val="en-US"/>
        </w:rPr>
      </w:pPr>
    </w:p>
    <w:p w14:paraId="18AEFC5B"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The COVID-19 pandemic served as an unprecedented test for Indonesia’s national resilience. Unlike conventional wars, this crisis required no weapons but demanded the nation’s capacity to organize social, moral, and spiritual solidarity (Nurhadi et al., 2023). Within this context, Muhammadiyah emerged as a strategic civil actor that strengthened the nation’s defensive capacity through community-based mobilization.</w:t>
      </w:r>
    </w:p>
    <w:p w14:paraId="7F697821"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Muhammadiyah’s rapid establishment of the Muhammadiyah COVID-19 Command Center (MCCC) on March 5, 2020, demonstrated its institutional agility and capacity for coordinated crisis response (Djalante et al., 2020). MCCC was created under the auspices of the Muhammadiyah Disaster Management Center (MDMC) to serve as an integrated command unit for pandemic response. This decision reflected the organization’s ability to transform its moral and religious values into systematic, measurable social action—aligning humanitarian missions with national defense principles.</w:t>
      </w:r>
    </w:p>
    <w:p w14:paraId="5AB0AA2B"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The emergence of MCCC illustrated how a religious organization could operationalize Total People’s Defense (SISHANTA) in a non-military context. Its structure was both decentralized and community-driven, mobilizing resources from Muhammadiyah’s nationwide network of hospitals, schools, mosques, and local chapters. This grassroots approach enabled rapid, adaptive responses that were contextually sensitive to local needs</w:t>
      </w:r>
      <w:r>
        <w:rPr>
          <w:rFonts w:ascii="Cambria" w:hAnsi="Cambria"/>
          <w:bCs/>
          <w:color w:val="000000" w:themeColor="text1"/>
          <w:sz w:val="24"/>
          <w:lang w:val="en-US"/>
        </w:rPr>
        <w:t xml:space="preserve">, </w:t>
      </w:r>
      <w:r w:rsidRPr="00EA22DC">
        <w:rPr>
          <w:rFonts w:ascii="Cambria" w:hAnsi="Cambria"/>
          <w:bCs/>
          <w:color w:val="000000" w:themeColor="text1"/>
          <w:sz w:val="24"/>
          <w:lang w:val="en-US"/>
        </w:rPr>
        <w:t>contrasting with the often bureaucratic, centralized mechanisms of state agencies.</w:t>
      </w:r>
    </w:p>
    <w:p w14:paraId="3E64DAC6"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At the heart of MCCC’s operations lay a moral imperative to protect human life (defense of life). Amid widespread fear and uncertainty during the early months of the pandemic, MCCC issued practical health and funeral protocols grounded in both scientific and Islamic principles. This ensured that COVID-19 victims were treated with dignity while upholding public health standards. The initiative represented a concrete form of civil participation in national defense, where community institutions took shared responsibility for citizens’ safety and wellbeing.</w:t>
      </w:r>
    </w:p>
    <w:p w14:paraId="179C41C1"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lastRenderedPageBreak/>
        <w:t>Muhammadiyah’s mobilization through MCCC can thus be interpreted as a grassroots embodiment of total defense, where resilience is built through civic coordination, philanthropy, and public education. The organization demonstrated that national defense extends beyond military preparedness; it also includes collective moral commitment, scientific literacy, and humanitarian solidarity.</w:t>
      </w:r>
    </w:p>
    <w:p w14:paraId="43E02867"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Through its extensive network, MCCC coordinated over 80 Muhammadiyah–‘Aisyiyah hospitals, hundreds of educational institutions, and numerous community centers across the archipelago (Kusnadi et al., 2020). Its actions were framed not only as health interventions but as acts of national service, reinforcing public trust and bridging the gap between the state and society. This aligns with the philosophical foundations of SISHANTA, which emphasize the mobilization of all national resources in safeguarding the people’s welfare.</w:t>
      </w:r>
    </w:p>
    <w:p w14:paraId="549B3C7B" w14:textId="0B51016E"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Importantly, Muhammadiyah played a dual role: as a partner of the state and as a moral counterbalance to public policy. While collaborating closely with government agencies on vaccination programs, public education, and social protection, Muhammadiyah also exercised critical oversight of policies perceived as unscientific or detrimental to public safety (Nurhadi et al., 2023). This moral oversight exemplified a mature civil society posture within the defense ecosystem</w:t>
      </w:r>
      <w:r>
        <w:rPr>
          <w:rFonts w:ascii="Cambria" w:hAnsi="Cambria"/>
          <w:bCs/>
          <w:color w:val="000000" w:themeColor="text1"/>
          <w:sz w:val="24"/>
          <w:lang w:val="en-US"/>
        </w:rPr>
        <w:t xml:space="preserve">, </w:t>
      </w:r>
      <w:r w:rsidRPr="00EA22DC">
        <w:rPr>
          <w:rFonts w:ascii="Cambria" w:hAnsi="Cambria"/>
          <w:bCs/>
          <w:color w:val="000000" w:themeColor="text1"/>
          <w:sz w:val="24"/>
          <w:lang w:val="en-US"/>
        </w:rPr>
        <w:t>maintaining both cooperation and constructive critique in service of the nation.</w:t>
      </w:r>
    </w:p>
    <w:p w14:paraId="4D8CEE29" w14:textId="77777777"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Philanthropic action through Lazismu, Muhammadiyah’s charitable arm, constituted another strategic pillar of social defense. During lockdowns and movement restrictions (PSBB and PPKM), Lazismu distributed self-isolation kits, oxygen cylinders, and microbusiness aid to economically affected households. These initiatives not only alleviated economic suffering but also strengthened social cohesion and public resilience by fostering empathy and shared responsibility—values deeply embedded in the Islamic principles of ta‘āwun (mutual assistance) and ukhuwah insaniyah (human fraternity).</w:t>
      </w:r>
    </w:p>
    <w:p w14:paraId="6A973E27" w14:textId="5421DFC5" w:rsid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The organization’s religious adaptability also played a crucial role in mitigating societal disruption. Through the Majelis Tarjih (Religious Affairs Council), Muhammadiyah issued guidelines for worship during the pandemic, harmonizing religious obligations with public health measures. This integration of faith, science, and ethics positioned religion as an epistemic resource supporting national policy (Muttaqin, 2021). The theological principle of hifz al-nafs (protection of life) became the moral foundation of Muhammadiyah’s approach</w:t>
      </w:r>
      <w:r>
        <w:rPr>
          <w:rFonts w:ascii="Cambria" w:hAnsi="Cambria"/>
          <w:bCs/>
          <w:color w:val="000000" w:themeColor="text1"/>
          <w:sz w:val="24"/>
          <w:lang w:val="en-US"/>
        </w:rPr>
        <w:t xml:space="preserve">, </w:t>
      </w:r>
      <w:r w:rsidRPr="00EA22DC">
        <w:rPr>
          <w:rFonts w:ascii="Cambria" w:hAnsi="Cambria"/>
          <w:bCs/>
          <w:color w:val="000000" w:themeColor="text1"/>
          <w:sz w:val="24"/>
          <w:lang w:val="en-US"/>
        </w:rPr>
        <w:t>demonstrating how religious interpretation can serve the broader objectives of national resilience.</w:t>
      </w:r>
    </w:p>
    <w:p w14:paraId="1CEDE0D7" w14:textId="45579A79" w:rsidR="00EA22DC" w:rsidRPr="00EA22DC" w:rsidRDefault="00EA22DC" w:rsidP="00EA22DC">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Institutionally, Muhammadiyah’s modern bureaucratic structure and coordinated communication systems enabled swift decision-making and resource mobilization. The combination of hierarchical organization and horizontal solidarity allowed MCCC to operate as an effective “civil defense unit” within Indonesia’s total defense architecture. These structural features</w:t>
      </w:r>
      <w:r>
        <w:rPr>
          <w:rFonts w:ascii="Cambria" w:hAnsi="Cambria"/>
          <w:bCs/>
          <w:color w:val="000000" w:themeColor="text1"/>
          <w:sz w:val="24"/>
          <w:lang w:val="en-US"/>
        </w:rPr>
        <w:t xml:space="preserve">, </w:t>
      </w:r>
      <w:r w:rsidRPr="00EA22DC">
        <w:rPr>
          <w:rFonts w:ascii="Cambria" w:hAnsi="Cambria"/>
          <w:bCs/>
          <w:color w:val="000000" w:themeColor="text1"/>
          <w:sz w:val="24"/>
          <w:lang w:val="en-US"/>
        </w:rPr>
        <w:t>complemented by moral legitimacy and community trust</w:t>
      </w:r>
      <w:r>
        <w:rPr>
          <w:rFonts w:ascii="Cambria" w:hAnsi="Cambria"/>
          <w:bCs/>
          <w:color w:val="000000" w:themeColor="text1"/>
          <w:sz w:val="24"/>
          <w:lang w:val="en-US"/>
        </w:rPr>
        <w:t xml:space="preserve">, </w:t>
      </w:r>
      <w:r w:rsidRPr="00EA22DC">
        <w:rPr>
          <w:rFonts w:ascii="Cambria" w:hAnsi="Cambria"/>
          <w:bCs/>
          <w:color w:val="000000" w:themeColor="text1"/>
          <w:sz w:val="24"/>
          <w:lang w:val="en-US"/>
        </w:rPr>
        <w:t>exemplify how non-state actors can assume strategic roles traditionally associated with the state.</w:t>
      </w:r>
    </w:p>
    <w:p w14:paraId="6CD7558B" w14:textId="77777777" w:rsidR="00EA22DC" w:rsidRPr="00EA22DC" w:rsidRDefault="00EA22DC" w:rsidP="00EA22DC">
      <w:pPr>
        <w:spacing w:line="276" w:lineRule="auto"/>
        <w:ind w:firstLine="0"/>
        <w:rPr>
          <w:rFonts w:ascii="Cambria" w:hAnsi="Cambria"/>
          <w:bCs/>
          <w:color w:val="000000" w:themeColor="text1"/>
          <w:sz w:val="24"/>
          <w:lang w:val="en-US"/>
        </w:rPr>
      </w:pPr>
    </w:p>
    <w:p w14:paraId="17F71C67" w14:textId="1BF9B39A"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lastRenderedPageBreak/>
        <w:t>In essence, Muhammadiyah’s MCCC functioned as a prototype of non-military defense in practice. By integrating humanitarian values, religious ethics, and professional management, MCCC demonstrated that Total People’s Defense is not confined to armed resistance but can be actualized through social preparedness, civic empowerment, and moral solidarity. The Muhammadiyah model thus broadens the theoretical scope of national defense to include the moral and social dimensions of collective resilience.</w:t>
      </w:r>
    </w:p>
    <w:p w14:paraId="49775295" w14:textId="77777777" w:rsidR="00EA22DC" w:rsidRDefault="00EA22DC" w:rsidP="00036077">
      <w:pPr>
        <w:spacing w:line="276" w:lineRule="auto"/>
        <w:ind w:firstLine="0"/>
        <w:rPr>
          <w:rFonts w:ascii="Cambria" w:hAnsi="Cambria"/>
          <w:b/>
          <w:color w:val="000000" w:themeColor="text1"/>
          <w:sz w:val="24"/>
          <w:lang w:val="en-US"/>
        </w:rPr>
      </w:pPr>
    </w:p>
    <w:p w14:paraId="5149DD73" w14:textId="77777777"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t>B. The Three Pillars of Muhammadiyah’s Total Defense Strategy during the COVID-19 Pandemic</w:t>
      </w:r>
    </w:p>
    <w:p w14:paraId="19C15B52" w14:textId="77777777" w:rsidR="00EA22DC" w:rsidRPr="00EA22DC" w:rsidRDefault="00EA22DC" w:rsidP="00EA22DC">
      <w:pPr>
        <w:spacing w:line="276" w:lineRule="auto"/>
        <w:ind w:firstLine="0"/>
        <w:rPr>
          <w:rFonts w:ascii="Cambria" w:hAnsi="Cambria"/>
          <w:bCs/>
          <w:color w:val="000000" w:themeColor="text1"/>
          <w:sz w:val="24"/>
          <w:lang w:val="en-US"/>
        </w:rPr>
      </w:pPr>
    </w:p>
    <w:p w14:paraId="29D92AC3" w14:textId="5F15507D" w:rsidR="00EA22DC" w:rsidRDefault="00EA22DC" w:rsidP="00DA4D54">
      <w:pPr>
        <w:spacing w:line="276" w:lineRule="auto"/>
        <w:ind w:firstLine="426"/>
        <w:rPr>
          <w:rFonts w:ascii="Cambria" w:hAnsi="Cambria"/>
          <w:bCs/>
          <w:color w:val="000000" w:themeColor="text1"/>
          <w:sz w:val="24"/>
          <w:lang w:val="en-US"/>
        </w:rPr>
      </w:pPr>
      <w:r w:rsidRPr="00EA22DC">
        <w:rPr>
          <w:rFonts w:ascii="Cambria" w:hAnsi="Cambria"/>
          <w:bCs/>
          <w:color w:val="000000" w:themeColor="text1"/>
          <w:sz w:val="24"/>
          <w:lang w:val="en-US"/>
        </w:rPr>
        <w:t>Muhammadiyah’s total defense strategy during the COVID-19 pandemic was realized through a multidimensional approach encompassing three fundamental sectors: health, education, and economy. These three domains formed an interrelated and mutually reinforcing system of social and religious action designed to strengthen community resilience amid the multidimensional crisis. Rather than a reactive response to the pandemic, Muhammadiyah’s actions represented a systematic expression of the organization’s core ethos</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Islam Berkemajuan (Progressive Islam)</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which integrates faith, knowledge, and social service as the foundation of civic duty (Nashir, 2020). Within the framework of Total People’s Defense (SISHANTA), this multidimensional strategy demonstrates that national security is inseparable from the social resilience and moral integrity of its people.</w:t>
      </w:r>
    </w:p>
    <w:p w14:paraId="3A3151A5" w14:textId="77777777" w:rsidR="001B3840" w:rsidRPr="001E60AA" w:rsidRDefault="001B3840" w:rsidP="001B3840">
      <w:pPr>
        <w:spacing w:line="276" w:lineRule="auto"/>
        <w:ind w:firstLine="0"/>
        <w:rPr>
          <w:rFonts w:ascii="Cambria" w:hAnsi="Cambria"/>
          <w:bCs/>
          <w:color w:val="000000" w:themeColor="text1"/>
          <w:sz w:val="24"/>
        </w:rPr>
      </w:pPr>
      <w:r w:rsidRPr="005C3D63">
        <w:rPr>
          <w:rFonts w:ascii="Cambria" w:hAnsi="Cambria"/>
          <w:bCs/>
          <w:noProof/>
          <w:color w:val="000000" w:themeColor="text1"/>
          <w:sz w:val="30"/>
          <w:szCs w:val="30"/>
        </w:rPr>
        <w:drawing>
          <wp:inline distT="0" distB="0" distL="0" distR="0" wp14:anchorId="14CF82D5" wp14:editId="2AE980C5">
            <wp:extent cx="5486400" cy="3200400"/>
            <wp:effectExtent l="0" t="5715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11160521" w14:textId="163F3D08" w:rsidR="001B3840" w:rsidRDefault="001B3840" w:rsidP="001B3840">
      <w:pPr>
        <w:spacing w:line="276" w:lineRule="auto"/>
        <w:ind w:firstLine="0"/>
        <w:rPr>
          <w:rFonts w:ascii="Cambria" w:hAnsi="Cambria"/>
          <w:bCs/>
          <w:color w:val="000000" w:themeColor="text1"/>
          <w:sz w:val="24"/>
          <w:lang w:val="en-US"/>
        </w:rPr>
      </w:pPr>
      <w:r w:rsidRPr="00DA4D54">
        <w:rPr>
          <w:rFonts w:ascii="Cambria" w:hAnsi="Cambria"/>
          <w:bCs/>
          <w:color w:val="000000" w:themeColor="text1"/>
          <w:sz w:val="24"/>
          <w:lang w:val="en-US"/>
        </w:rPr>
        <w:t>Figure 1. The Three Pillars of Muhammadiyah’s Total Defense Strategy in Responding to the COVID-19 Pandemic</w:t>
      </w:r>
    </w:p>
    <w:p w14:paraId="13152617" w14:textId="77777777" w:rsidR="001B3840" w:rsidRPr="001E60AA" w:rsidRDefault="001B3840" w:rsidP="001B3840">
      <w:pPr>
        <w:spacing w:line="276" w:lineRule="auto"/>
        <w:ind w:firstLine="0"/>
        <w:rPr>
          <w:rFonts w:ascii="Cambria" w:hAnsi="Cambria"/>
          <w:bCs/>
          <w:color w:val="000000" w:themeColor="text1"/>
          <w:sz w:val="24"/>
        </w:rPr>
      </w:pPr>
    </w:p>
    <w:p w14:paraId="3BFBBBC4" w14:textId="77777777"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t>1. Health Sector: Defense of Life</w:t>
      </w:r>
    </w:p>
    <w:p w14:paraId="28636D8C" w14:textId="7A02BE9F" w:rsidR="00DA4D54" w:rsidRDefault="00EA22DC" w:rsidP="00DA4D54">
      <w:pPr>
        <w:spacing w:line="276" w:lineRule="auto"/>
        <w:ind w:firstLine="426"/>
        <w:rPr>
          <w:rFonts w:ascii="Cambria" w:hAnsi="Cambria"/>
          <w:bCs/>
          <w:color w:val="000000" w:themeColor="text1"/>
          <w:sz w:val="24"/>
          <w:lang w:val="en-US"/>
        </w:rPr>
      </w:pPr>
      <w:r w:rsidRPr="00EA22DC">
        <w:rPr>
          <w:rFonts w:ascii="Cambria" w:hAnsi="Cambria"/>
          <w:bCs/>
          <w:color w:val="000000" w:themeColor="text1"/>
          <w:sz w:val="24"/>
          <w:lang w:val="en-US"/>
        </w:rPr>
        <w:t xml:space="preserve">In the health sector, Muhammadiyah mobilized its extensive network of hospitals to serve as the frontline institutions in combating the pandemic. More than 80 </w:t>
      </w:r>
      <w:r w:rsidRPr="00EA22DC">
        <w:rPr>
          <w:rFonts w:ascii="Cambria" w:hAnsi="Cambria"/>
          <w:bCs/>
          <w:color w:val="000000" w:themeColor="text1"/>
          <w:sz w:val="24"/>
          <w:lang w:val="en-US"/>
        </w:rPr>
        <w:lastRenderedPageBreak/>
        <w:t>Muhammadiyah–‘Aisyiyah hospitals across Indonesia were designated as COVID-19 referral centers, providing treatment, isolation facilities, and emergency medical services (Ichsan, 2022). This large-scale mobilization was coordinated through the Muhammadiyah COVID-19 Command Center (MCCC)</w:t>
      </w:r>
      <w:r w:rsidR="00DA4D54">
        <w:rPr>
          <w:rFonts w:ascii="Cambria" w:hAnsi="Cambria"/>
          <w:bCs/>
          <w:color w:val="000000" w:themeColor="text1"/>
          <w:sz w:val="24"/>
          <w:lang w:val="en-US"/>
        </w:rPr>
        <w:t xml:space="preserve">. </w:t>
      </w:r>
    </w:p>
    <w:p w14:paraId="61D7AB35" w14:textId="5DDC642B" w:rsidR="00DA4D54" w:rsidRDefault="00EA22DC" w:rsidP="00DA4D54">
      <w:pPr>
        <w:spacing w:line="276" w:lineRule="auto"/>
        <w:ind w:firstLine="426"/>
        <w:rPr>
          <w:rFonts w:ascii="Cambria" w:hAnsi="Cambria"/>
          <w:bCs/>
          <w:color w:val="000000" w:themeColor="text1"/>
          <w:sz w:val="24"/>
          <w:lang w:val="en-US"/>
        </w:rPr>
      </w:pPr>
      <w:r w:rsidRPr="00EA22DC">
        <w:rPr>
          <w:rFonts w:ascii="Cambria" w:hAnsi="Cambria"/>
          <w:bCs/>
          <w:color w:val="000000" w:themeColor="text1"/>
          <w:sz w:val="24"/>
          <w:lang w:val="en-US"/>
        </w:rPr>
        <w:t>MCCC’s initiatives included supporting the national vaccination program, developing Islamic-compliant funeral management guidelines, and offering telemedicine and public health consultations (Sadikin, 2021). These efforts exemplify defense of life</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a moral and operational commitment to safeguard human existence as an integral dimension of national defense. The proactive engagement of Muhammadiyah hospitals and medical personnel contributed not only to saving lives but also to maintaining societal stability at a time when public institutions were overwhelmed.</w:t>
      </w:r>
    </w:p>
    <w:p w14:paraId="1D3A32E9" w14:textId="7FC2738B" w:rsidR="00EA22DC" w:rsidRPr="00EA22DC" w:rsidRDefault="00EA22DC" w:rsidP="00DA4D54">
      <w:pPr>
        <w:spacing w:line="276" w:lineRule="auto"/>
        <w:ind w:firstLine="426"/>
        <w:rPr>
          <w:rFonts w:ascii="Cambria" w:hAnsi="Cambria"/>
          <w:bCs/>
          <w:color w:val="000000" w:themeColor="text1"/>
          <w:sz w:val="24"/>
          <w:lang w:val="en-US"/>
        </w:rPr>
      </w:pPr>
      <w:r w:rsidRPr="00EA22DC">
        <w:rPr>
          <w:rFonts w:ascii="Cambria" w:hAnsi="Cambria"/>
          <w:bCs/>
          <w:color w:val="000000" w:themeColor="text1"/>
          <w:sz w:val="24"/>
          <w:lang w:val="en-US"/>
        </w:rPr>
        <w:t>Through these actions, Muhammadiyah positioned health as a strategic domain of civil defense, emphasizing that protecting the population’s wellbeing constitutes a core element of national resilience. The organization’s medical mobilization demonstrated how non-state actors could serve as essential complements to state capacity, embodying the collaborative spirit of SISHANTA.</w:t>
      </w:r>
    </w:p>
    <w:p w14:paraId="5CBFC75F" w14:textId="77777777" w:rsidR="00EA22DC" w:rsidRPr="00EA22DC" w:rsidRDefault="00EA22DC" w:rsidP="00EA22DC">
      <w:pPr>
        <w:spacing w:line="276" w:lineRule="auto"/>
        <w:ind w:firstLine="0"/>
        <w:rPr>
          <w:rFonts w:ascii="Cambria" w:hAnsi="Cambria"/>
          <w:bCs/>
          <w:color w:val="000000" w:themeColor="text1"/>
          <w:sz w:val="24"/>
          <w:lang w:val="en-US"/>
        </w:rPr>
      </w:pPr>
    </w:p>
    <w:p w14:paraId="4450603A" w14:textId="77777777"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t>2. Education Sector: Defense of Knowledge</w:t>
      </w:r>
    </w:p>
    <w:p w14:paraId="7A3CC515" w14:textId="2ECA5B66"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In the education sector, Muhammadiyah activated its vast educational network</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comprising over 3,300 primary and secondary schools and 172 universities</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to sustain learning continuity and promote public awareness throughout the pandemic. Educational institutions became key instruments for building scientific literacy, moral awareness, and adaptive capacity among students and the broader community (Baidhawy, 2015).</w:t>
      </w:r>
    </w:p>
    <w:p w14:paraId="4A58C209" w14:textId="77777777"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When public schools faced closures due to health restrictions, Muhammadiyah rapidly transitioned to digital-based learning systems, trained teachers in online pedagogy, and developed emergency curricula emphasizing empathy, solidarity, and resilience. Educational activities extended beyond classrooms, incorporating community outreach and public campaigns on health protocols, vaccination, and hygiene practices.</w:t>
      </w:r>
    </w:p>
    <w:p w14:paraId="3C5067B8" w14:textId="247F7FDB" w:rsidR="00EA22DC" w:rsidRPr="00EA22DC"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This educational activism embodies the principle of defense of knowledge, in which awareness and intellectual preparedness become vital resources for social endurance. By integrating religious reasoning with scientific understanding, Muhammadiyah’s educational initiatives countered misinformation and promoted rational, ethical responses to the crisis. Thus, education functioned as a defensive shield against fear, ignorance, and disinformation, which are themselves threats to social stability.</w:t>
      </w:r>
    </w:p>
    <w:p w14:paraId="73A7CDF0" w14:textId="77777777" w:rsidR="00EA22DC" w:rsidRPr="00EA22DC" w:rsidRDefault="00EA22DC" w:rsidP="00EA22DC">
      <w:pPr>
        <w:spacing w:line="276" w:lineRule="auto"/>
        <w:ind w:firstLine="0"/>
        <w:rPr>
          <w:rFonts w:ascii="Cambria" w:hAnsi="Cambria"/>
          <w:bCs/>
          <w:color w:val="000000" w:themeColor="text1"/>
          <w:sz w:val="24"/>
          <w:lang w:val="en-US"/>
        </w:rPr>
      </w:pPr>
    </w:p>
    <w:p w14:paraId="07947710" w14:textId="77777777" w:rsidR="00EA22DC" w:rsidRPr="00EA22DC" w:rsidRDefault="00EA22DC" w:rsidP="00EA22DC">
      <w:pPr>
        <w:spacing w:line="276" w:lineRule="auto"/>
        <w:ind w:firstLine="0"/>
        <w:rPr>
          <w:rFonts w:ascii="Cambria" w:hAnsi="Cambria"/>
          <w:bCs/>
          <w:color w:val="000000" w:themeColor="text1"/>
          <w:sz w:val="24"/>
          <w:lang w:val="en-US"/>
        </w:rPr>
      </w:pPr>
      <w:r w:rsidRPr="00EA22DC">
        <w:rPr>
          <w:rFonts w:ascii="Cambria" w:hAnsi="Cambria"/>
          <w:bCs/>
          <w:color w:val="000000" w:themeColor="text1"/>
          <w:sz w:val="24"/>
          <w:lang w:val="en-US"/>
        </w:rPr>
        <w:t>3. Economic Sector: Defense of Welfare</w:t>
      </w:r>
    </w:p>
    <w:p w14:paraId="640D648E" w14:textId="242134E5"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The third pillar of Muhammadiyah’s defense strategy lies in the economic and welfare domain, operationalized primarily through its philanthropic institution, Lazismu (Lembaga Amil Zakat, Infaq, dan Shadaqah Muhammadiyah). During lockdowns and mobility restrictions, Lazismu became a vital engine for economic resilience and humanitarian assistance.</w:t>
      </w:r>
      <w:r w:rsidR="00DA4D54">
        <w:rPr>
          <w:rFonts w:ascii="Cambria" w:hAnsi="Cambria"/>
          <w:bCs/>
          <w:color w:val="000000" w:themeColor="text1"/>
          <w:sz w:val="24"/>
          <w:lang w:val="en-US"/>
        </w:rPr>
        <w:t xml:space="preserve"> </w:t>
      </w:r>
    </w:p>
    <w:p w14:paraId="121BB050" w14:textId="77777777"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 xml:space="preserve">Through nationwide campaigns, Lazismu distributed food packages, oxygen cylinders, protective equipment, and direct cash transfers to vulnerable households. It also provided </w:t>
      </w:r>
      <w:r w:rsidRPr="00EA22DC">
        <w:rPr>
          <w:rFonts w:ascii="Cambria" w:hAnsi="Cambria"/>
          <w:bCs/>
          <w:color w:val="000000" w:themeColor="text1"/>
          <w:sz w:val="24"/>
          <w:lang w:val="en-US"/>
        </w:rPr>
        <w:lastRenderedPageBreak/>
        <w:t>micro-business assistance to affected entrepreneurs and supported community-based food security programs, such as the Aisyiyah Food Security Movement that empowered women to sustain local production and mutual aid (Maryati et al., 2022; Piliyati, Latief, &amp; Anwar, 2020).</w:t>
      </w:r>
    </w:p>
    <w:p w14:paraId="62CE0FD5" w14:textId="5979A52F" w:rsidR="00EA22DC" w:rsidRPr="00EA22DC"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These initiatives exemplify defense of welfare</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a form of social defense rooted in compassion and collective solidarity. By stabilizing household economies and strengthening community-based production, Muhammadiyah’s philanthropic networks mitigated the socioeconomic impacts of the pandemic while reinforcing public trust in civil institutions.</w:t>
      </w:r>
    </w:p>
    <w:p w14:paraId="752E1F1D" w14:textId="77777777"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Together, the health, education, and economic dimensions constituted a holistic model of civil defense embedded within Muhammadiyah’s organizational structure and moral philosophy. This integrative strategy reflects the doctrine of Total People’s Defense as outlined in Law No. 3 of 2002 on National Defense, which mandates the involvement of all citizens and national resources in a comprehensive, continuous, and integrated defense system.</w:t>
      </w:r>
    </w:p>
    <w:p w14:paraId="4ED1FDC9" w14:textId="2566D60B" w:rsidR="00DA4D54"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Traditionally, the total defense doctrine has been interpreted within a militaristic framework, emphasizing territorial defense and mobilization of reserve components. However, the COVID-19 crisis redefined the concept of threat—demonstrating that pandemics, environmental degradation, and information disorder can challenge national stability as profoundly as armed conflict. Muhammadiyah’s multidimensional response provided empirical evidence that faith-based organizations can effectively operationalize SISHANTA through humanitarian, social, and educational engagement</w:t>
      </w:r>
      <w:r w:rsidR="00DA4D54">
        <w:rPr>
          <w:rFonts w:ascii="Cambria" w:hAnsi="Cambria"/>
          <w:bCs/>
          <w:color w:val="000000" w:themeColor="text1"/>
          <w:sz w:val="24"/>
          <w:lang w:val="en-US"/>
        </w:rPr>
        <w:t xml:space="preserve">. </w:t>
      </w:r>
    </w:p>
    <w:p w14:paraId="29E46E02" w14:textId="5D60D3F6" w:rsidR="00EA22DC" w:rsidRPr="00EA22DC" w:rsidRDefault="00EA22DC" w:rsidP="00DA4D54">
      <w:pPr>
        <w:spacing w:line="276" w:lineRule="auto"/>
        <w:rPr>
          <w:rFonts w:ascii="Cambria" w:hAnsi="Cambria"/>
          <w:bCs/>
          <w:color w:val="000000" w:themeColor="text1"/>
          <w:sz w:val="24"/>
          <w:lang w:val="en-US"/>
        </w:rPr>
      </w:pPr>
      <w:r w:rsidRPr="00EA22DC">
        <w:rPr>
          <w:rFonts w:ascii="Cambria" w:hAnsi="Cambria"/>
          <w:bCs/>
          <w:color w:val="000000" w:themeColor="text1"/>
          <w:sz w:val="24"/>
          <w:lang w:val="en-US"/>
        </w:rPr>
        <w:t>As Djalante et al. (2020) observed, the effectiveness of pandemic response in Indonesia depended largely on collaboration between the state and civil society. Muhammadiyah’s MCCC successfully bridged gaps in public coordination, embodying the spirit of civil defense through rapid mobilization and evidence-based decision-making. The organization’s structure, legitimacy, and values allowed it to function as both a moral partner and strategic actor within Indonesia’s broader defense ecosystem.</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Ultimately, Muhammadiyah’s multidimensional strategy transformed the pandemic into a laboratory for total defense, illustrating that national resilience is not limited to military preparedness but also derives from moral conviction, social cohesion, and civic participation. In this sense, Muhammadiyah’s response represents a civilizational model of defense</w:t>
      </w:r>
      <w:r w:rsidR="00DA4D54">
        <w:rPr>
          <w:rFonts w:ascii="Cambria" w:hAnsi="Cambria"/>
          <w:bCs/>
          <w:color w:val="000000" w:themeColor="text1"/>
          <w:sz w:val="24"/>
          <w:lang w:val="en-US"/>
        </w:rPr>
        <w:t xml:space="preserve">, </w:t>
      </w:r>
      <w:r w:rsidRPr="00EA22DC">
        <w:rPr>
          <w:rFonts w:ascii="Cambria" w:hAnsi="Cambria"/>
          <w:bCs/>
          <w:color w:val="000000" w:themeColor="text1"/>
          <w:sz w:val="24"/>
          <w:lang w:val="en-US"/>
        </w:rPr>
        <w:t>one that defends life, knowledge, and welfare as interdependent pillars of national security and human dignity.</w:t>
      </w:r>
    </w:p>
    <w:p w14:paraId="78C575E7" w14:textId="4A4923C4" w:rsidR="00EA22DC" w:rsidRDefault="00EA22DC" w:rsidP="00036077">
      <w:pPr>
        <w:spacing w:line="276" w:lineRule="auto"/>
        <w:ind w:firstLine="0"/>
        <w:rPr>
          <w:rFonts w:ascii="Cambria" w:hAnsi="Cambria"/>
          <w:b/>
          <w:color w:val="000000" w:themeColor="text1"/>
          <w:sz w:val="24"/>
          <w:lang w:val="en-US"/>
        </w:rPr>
      </w:pPr>
    </w:p>
    <w:p w14:paraId="577F2DD8" w14:textId="2C35CB4A" w:rsidR="00036077" w:rsidRPr="001E60AA" w:rsidRDefault="005B3C9F" w:rsidP="00036077">
      <w:pPr>
        <w:spacing w:line="276" w:lineRule="auto"/>
        <w:ind w:firstLine="0"/>
        <w:rPr>
          <w:rFonts w:ascii="Cambria" w:hAnsi="Cambria"/>
          <w:b/>
          <w:bCs/>
          <w:caps/>
          <w:color w:val="000000" w:themeColor="text1"/>
          <w:sz w:val="24"/>
          <w:szCs w:val="28"/>
          <w:lang w:val="en-US"/>
        </w:rPr>
      </w:pPr>
      <w:r w:rsidRPr="005B3C9F">
        <w:rPr>
          <w:rFonts w:ascii="Cambria" w:hAnsi="Cambria"/>
          <w:b/>
          <w:bCs/>
          <w:caps/>
          <w:color w:val="000000" w:themeColor="text1"/>
          <w:sz w:val="24"/>
          <w:szCs w:val="28"/>
          <w:lang w:val="en-US"/>
        </w:rPr>
        <w:t>CONCLUSIONS, RECOMMENDATIONS, AND LIMITATIONS</w:t>
      </w:r>
      <w:r w:rsidR="00036077" w:rsidRPr="001E60AA">
        <w:rPr>
          <w:rFonts w:ascii="Cambria" w:hAnsi="Cambria"/>
          <w:b/>
          <w:bCs/>
          <w:caps/>
          <w:color w:val="000000" w:themeColor="text1"/>
          <w:sz w:val="24"/>
          <w:szCs w:val="28"/>
          <w:lang w:val="en-US"/>
        </w:rPr>
        <w:t xml:space="preserve"> </w:t>
      </w:r>
    </w:p>
    <w:p w14:paraId="2C0D632D" w14:textId="77777777" w:rsidR="00DA4D54" w:rsidRPr="00DA4D54" w:rsidRDefault="00DA4D54" w:rsidP="00DA4D54">
      <w:pPr>
        <w:spacing w:line="276" w:lineRule="auto"/>
        <w:rPr>
          <w:rFonts w:ascii="Cambria" w:hAnsi="Cambria"/>
          <w:color w:val="000000" w:themeColor="text1"/>
          <w:sz w:val="24"/>
          <w:lang w:val="en-US"/>
        </w:rPr>
      </w:pPr>
      <w:r w:rsidRPr="00DA4D54">
        <w:rPr>
          <w:rFonts w:ascii="Cambria" w:hAnsi="Cambria"/>
          <w:color w:val="000000" w:themeColor="text1"/>
          <w:sz w:val="24"/>
          <w:lang w:val="en-US"/>
        </w:rPr>
        <w:t>The COVID-19 pandemic has fundamentally reshaped the meaning and practice of Total People’s Defense (SISHANTA) in Indonesia. This study found that the crisis not only tested the state’s institutional resilience but also revealed the critical role of civil and religious organizations as non-state actors in safeguarding the nation. Through its Muhammadiyah COVID-19 Command Center (MCCC), Muhammadiyah successfully transformed faith-based social energy into a structured, coordinated, and evidence-based civil defense system.</w:t>
      </w:r>
    </w:p>
    <w:p w14:paraId="2C343A74" w14:textId="5391828C" w:rsidR="00DA4D54" w:rsidRPr="00DA4D54" w:rsidRDefault="00DA4D54" w:rsidP="00DA4D54">
      <w:pPr>
        <w:spacing w:line="276" w:lineRule="auto"/>
        <w:rPr>
          <w:rFonts w:ascii="Cambria" w:hAnsi="Cambria"/>
          <w:color w:val="000000" w:themeColor="text1"/>
          <w:sz w:val="24"/>
          <w:lang w:val="en-US"/>
        </w:rPr>
      </w:pPr>
      <w:r w:rsidRPr="00DA4D54">
        <w:rPr>
          <w:rFonts w:ascii="Cambria" w:hAnsi="Cambria"/>
          <w:color w:val="000000" w:themeColor="text1"/>
          <w:sz w:val="24"/>
          <w:lang w:val="en-US"/>
        </w:rPr>
        <w:lastRenderedPageBreak/>
        <w:t>The findings demonstrate that national defense, in its broadest sense, is not solely determined by military strength but also by a society’s capacity to mobilize moral conviction, social solidarity, and intellectual competence. Muhammadiyah’s strategies exemplified this multidimensional form of defense through three interlinked pillars</w:t>
      </w:r>
      <w:r w:rsidR="005B3C9F">
        <w:rPr>
          <w:rFonts w:ascii="Cambria" w:hAnsi="Cambria"/>
          <w:color w:val="000000" w:themeColor="text1"/>
          <w:sz w:val="24"/>
          <w:lang w:val="en-US"/>
        </w:rPr>
        <w:t xml:space="preserve"> </w:t>
      </w:r>
      <w:r w:rsidRPr="00DA4D54">
        <w:rPr>
          <w:rFonts w:ascii="Cambria" w:hAnsi="Cambria"/>
          <w:color w:val="000000" w:themeColor="text1"/>
          <w:sz w:val="24"/>
          <w:lang w:val="en-US"/>
        </w:rPr>
        <w:t>health, education, and economy</w:t>
      </w:r>
      <w:r w:rsidR="005B3C9F">
        <w:rPr>
          <w:rFonts w:ascii="Cambria" w:hAnsi="Cambria"/>
          <w:color w:val="000000" w:themeColor="text1"/>
          <w:sz w:val="24"/>
          <w:lang w:val="en-US"/>
        </w:rPr>
        <w:t xml:space="preserve">, </w:t>
      </w:r>
      <w:r w:rsidRPr="00DA4D54">
        <w:rPr>
          <w:rFonts w:ascii="Cambria" w:hAnsi="Cambria"/>
          <w:color w:val="000000" w:themeColor="text1"/>
          <w:sz w:val="24"/>
          <w:lang w:val="en-US"/>
        </w:rPr>
        <w:t>each representing a domain of collective resilience.</w:t>
      </w:r>
    </w:p>
    <w:p w14:paraId="176253E3" w14:textId="77777777" w:rsidR="00DA4D54" w:rsidRPr="00DA4D54" w:rsidRDefault="00DA4D54" w:rsidP="00DA4D54">
      <w:pPr>
        <w:spacing w:line="276" w:lineRule="auto"/>
        <w:rPr>
          <w:rFonts w:ascii="Cambria" w:hAnsi="Cambria"/>
          <w:color w:val="000000" w:themeColor="text1"/>
          <w:sz w:val="24"/>
          <w:lang w:val="en-US"/>
        </w:rPr>
      </w:pPr>
      <w:r w:rsidRPr="00DA4D54">
        <w:rPr>
          <w:rFonts w:ascii="Cambria" w:hAnsi="Cambria"/>
          <w:color w:val="000000" w:themeColor="text1"/>
          <w:sz w:val="24"/>
          <w:lang w:val="en-US"/>
        </w:rPr>
        <w:t>These three dimensions collectively reflect the operationalization of SISHANTA as envisioned by Law No. 3 of 2002 on National Defense, which mandates the involvement of all citizens and national resources in defending the nation. What Muhammadiyah demonstrated, however, is that this mandate can be realized not only through coercive or militaristic mobilization but also through voluntary, ethical, and community-based participation.</w:t>
      </w:r>
    </w:p>
    <w:p w14:paraId="2CFEF351" w14:textId="34205EA5" w:rsidR="00DA4D54" w:rsidRPr="00DA4D54" w:rsidRDefault="00DA4D54" w:rsidP="00DA4D54">
      <w:pPr>
        <w:spacing w:line="276" w:lineRule="auto"/>
        <w:rPr>
          <w:rFonts w:ascii="Cambria" w:hAnsi="Cambria"/>
          <w:color w:val="000000" w:themeColor="text1"/>
          <w:sz w:val="24"/>
          <w:lang w:val="en-US"/>
        </w:rPr>
      </w:pPr>
      <w:r w:rsidRPr="00DA4D54">
        <w:rPr>
          <w:rFonts w:ascii="Cambria" w:hAnsi="Cambria"/>
          <w:color w:val="000000" w:themeColor="text1"/>
          <w:sz w:val="24"/>
          <w:lang w:val="en-US"/>
        </w:rPr>
        <w:t>The pandemic thus becomes not only a humanitarian crisis but also a social laboratory that validates the relevance of civil-based defense in the modern era. Muhammadiyah’s experience demonstrates that resilience arises from the harmony of ethical conviction and collective action</w:t>
      </w:r>
      <w:r w:rsidR="005B3C9F">
        <w:rPr>
          <w:rFonts w:ascii="Cambria" w:hAnsi="Cambria"/>
          <w:color w:val="000000" w:themeColor="text1"/>
          <w:sz w:val="24"/>
          <w:lang w:val="en-US"/>
        </w:rPr>
        <w:t xml:space="preserve">, </w:t>
      </w:r>
      <w:r w:rsidRPr="00DA4D54">
        <w:rPr>
          <w:rFonts w:ascii="Cambria" w:hAnsi="Cambria"/>
          <w:color w:val="000000" w:themeColor="text1"/>
          <w:sz w:val="24"/>
          <w:lang w:val="en-US"/>
        </w:rPr>
        <w:t>a synergy that transforms religion from a doctrinal system into a strategic force for public welfare and national endurance.</w:t>
      </w:r>
    </w:p>
    <w:p w14:paraId="7A02F76F" w14:textId="5E1FC419" w:rsidR="00DA4D54" w:rsidRDefault="00DA4D54" w:rsidP="00DA4D54">
      <w:pPr>
        <w:spacing w:line="276" w:lineRule="auto"/>
        <w:rPr>
          <w:rFonts w:ascii="Cambria" w:hAnsi="Cambria"/>
          <w:color w:val="000000" w:themeColor="text1"/>
          <w:sz w:val="24"/>
          <w:lang w:val="en-US"/>
        </w:rPr>
      </w:pPr>
      <w:r w:rsidRPr="00DA4D54">
        <w:rPr>
          <w:rFonts w:ascii="Cambria" w:hAnsi="Cambria"/>
          <w:color w:val="000000" w:themeColor="text1"/>
          <w:sz w:val="24"/>
          <w:lang w:val="en-US"/>
        </w:rPr>
        <w:t>Ultimately, the study concludes that the future of Indonesia’s defense system must evolve toward a human-centered and polycentric model, in which the strength of the nation is measured not only by its ability to deter military threats but also by its capacity to unite citizens under shared values of humanity, solidarity, and justice. The Muhammadiyah model offers a sustainable blueprint for building a resilient nation</w:t>
      </w:r>
      <w:r w:rsidR="001B6DCC">
        <w:rPr>
          <w:rFonts w:ascii="Cambria" w:hAnsi="Cambria"/>
          <w:color w:val="000000" w:themeColor="text1"/>
          <w:sz w:val="24"/>
          <w:lang w:val="en-US"/>
        </w:rPr>
        <w:t xml:space="preserve">, </w:t>
      </w:r>
      <w:r w:rsidRPr="00DA4D54">
        <w:rPr>
          <w:rFonts w:ascii="Cambria" w:hAnsi="Cambria"/>
          <w:color w:val="000000" w:themeColor="text1"/>
          <w:sz w:val="24"/>
          <w:lang w:val="en-US"/>
        </w:rPr>
        <w:t>one that protects sovereignty while upholding life and dignity as the highest expressions of defense</w:t>
      </w:r>
      <w:r>
        <w:rPr>
          <w:rFonts w:ascii="Cambria" w:hAnsi="Cambria"/>
          <w:color w:val="000000" w:themeColor="text1"/>
          <w:sz w:val="24"/>
          <w:lang w:val="en-US"/>
        </w:rPr>
        <w:t xml:space="preserve">. </w:t>
      </w:r>
    </w:p>
    <w:p w14:paraId="1CA28D7F" w14:textId="7B2D2FC7" w:rsidR="00C40ECF" w:rsidRDefault="00C40ECF" w:rsidP="00DA4D54">
      <w:pPr>
        <w:spacing w:line="276" w:lineRule="auto"/>
        <w:rPr>
          <w:rFonts w:ascii="Cambria" w:hAnsi="Cambria"/>
          <w:color w:val="000000" w:themeColor="text1"/>
          <w:sz w:val="24"/>
          <w:lang w:val="en-US"/>
        </w:rPr>
      </w:pPr>
      <w:r w:rsidRPr="00C40ECF">
        <w:rPr>
          <w:rFonts w:ascii="Cambria" w:hAnsi="Cambria"/>
          <w:color w:val="000000" w:themeColor="text1"/>
          <w:sz w:val="24"/>
          <w:lang w:val="en-US"/>
        </w:rPr>
        <w:t>The findings of this study highlight the need to strengthen Indonesia’s Total People’s Defense System (SISHANTA) through the inclusion of civil and religious organizations as integral components of national resilience. Muhammadiyah’s experience during the COVID-19 pandemic demonstrates that defense is most effective when the state collaborates with capable non-state actors. Therefore, the government should institutionalize the role of faith-based and civil organizations within the broader framework of defense governance.</w:t>
      </w:r>
    </w:p>
    <w:p w14:paraId="0F8ED790" w14:textId="5FC0C290" w:rsidR="00C40ECF" w:rsidRDefault="00C40ECF" w:rsidP="00DA4D54">
      <w:pPr>
        <w:spacing w:line="276" w:lineRule="auto"/>
        <w:rPr>
          <w:rFonts w:ascii="Cambria" w:hAnsi="Cambria"/>
          <w:color w:val="000000" w:themeColor="text1"/>
          <w:sz w:val="24"/>
          <w:lang w:val="en-US"/>
        </w:rPr>
      </w:pPr>
      <w:r w:rsidRPr="00C40ECF">
        <w:rPr>
          <w:rFonts w:ascii="Cambria" w:hAnsi="Cambria"/>
          <w:color w:val="000000" w:themeColor="text1"/>
          <w:sz w:val="24"/>
          <w:lang w:val="en-US"/>
        </w:rPr>
        <w:t xml:space="preserve">This study recognizes certain limitations that shape the scope of its analysis. </w:t>
      </w:r>
      <w:r>
        <w:rPr>
          <w:rFonts w:ascii="Cambria" w:hAnsi="Cambria"/>
          <w:color w:val="000000" w:themeColor="text1"/>
          <w:sz w:val="24"/>
          <w:lang w:val="en-US"/>
        </w:rPr>
        <w:t>I</w:t>
      </w:r>
      <w:r w:rsidRPr="00C40ECF">
        <w:rPr>
          <w:rFonts w:ascii="Cambria" w:hAnsi="Cambria"/>
          <w:color w:val="000000" w:themeColor="text1"/>
          <w:sz w:val="24"/>
          <w:lang w:val="en-US"/>
        </w:rPr>
        <w:t>t focuses on Muhammadiyah as a single case study representing the model of civil-based defense. While this approach provides analytical depth, it limits generalization to other religious or civil organizations that may operate under different social or institutional contexts. Comparative research involving other major organizations</w:t>
      </w:r>
      <w:r>
        <w:rPr>
          <w:rFonts w:ascii="Cambria" w:hAnsi="Cambria"/>
          <w:color w:val="000000" w:themeColor="text1"/>
          <w:sz w:val="24"/>
          <w:lang w:val="en-US"/>
        </w:rPr>
        <w:t xml:space="preserve">, </w:t>
      </w:r>
      <w:r w:rsidRPr="00C40ECF">
        <w:rPr>
          <w:rFonts w:ascii="Cambria" w:hAnsi="Cambria"/>
          <w:color w:val="000000" w:themeColor="text1"/>
          <w:sz w:val="24"/>
          <w:lang w:val="en-US"/>
        </w:rPr>
        <w:t>such as Nahdlatul Ulama or interfaith humanitarian networks</w:t>
      </w:r>
      <w:r>
        <w:rPr>
          <w:rFonts w:ascii="Cambria" w:hAnsi="Cambria"/>
          <w:color w:val="000000" w:themeColor="text1"/>
          <w:sz w:val="24"/>
          <w:lang w:val="en-US"/>
        </w:rPr>
        <w:t xml:space="preserve">, </w:t>
      </w:r>
      <w:r w:rsidRPr="00C40ECF">
        <w:rPr>
          <w:rFonts w:ascii="Cambria" w:hAnsi="Cambria"/>
          <w:color w:val="000000" w:themeColor="text1"/>
          <w:sz w:val="24"/>
          <w:lang w:val="en-US"/>
        </w:rPr>
        <w:t>would enrich the theoretical understanding of civil-based defense in Indonesia.</w:t>
      </w:r>
    </w:p>
    <w:p w14:paraId="0156D4C5" w14:textId="77777777" w:rsidR="00C40ECF" w:rsidRDefault="00C40ECF" w:rsidP="00DA4D54">
      <w:pPr>
        <w:spacing w:line="276" w:lineRule="auto"/>
        <w:rPr>
          <w:rFonts w:ascii="Cambria" w:hAnsi="Cambria"/>
          <w:color w:val="000000" w:themeColor="text1"/>
          <w:sz w:val="24"/>
          <w:lang w:val="en-US"/>
        </w:rPr>
      </w:pPr>
    </w:p>
    <w:p w14:paraId="1468D9D4" w14:textId="77777777" w:rsidR="00036077" w:rsidRPr="001E60AA" w:rsidRDefault="00036077" w:rsidP="00036077">
      <w:pPr>
        <w:spacing w:line="276" w:lineRule="auto"/>
        <w:ind w:firstLine="0"/>
        <w:rPr>
          <w:rFonts w:ascii="Cambria" w:hAnsi="Cambria"/>
          <w:b/>
          <w:bCs/>
          <w:caps/>
          <w:color w:val="000000" w:themeColor="text1"/>
          <w:sz w:val="24"/>
          <w:szCs w:val="28"/>
          <w:lang w:val="en-US"/>
        </w:rPr>
      </w:pPr>
    </w:p>
    <w:p w14:paraId="1579476D" w14:textId="77777777" w:rsidR="00036077" w:rsidRPr="001E60AA" w:rsidRDefault="00036077" w:rsidP="00036077">
      <w:pPr>
        <w:spacing w:line="276" w:lineRule="auto"/>
        <w:ind w:firstLine="0"/>
        <w:rPr>
          <w:rFonts w:ascii="Cambria" w:hAnsi="Cambria"/>
          <w:b/>
          <w:color w:val="000000" w:themeColor="text1"/>
          <w:sz w:val="24"/>
          <w:szCs w:val="40"/>
        </w:rPr>
      </w:pPr>
      <w:r w:rsidRPr="001E60AA">
        <w:rPr>
          <w:rFonts w:ascii="Cambria" w:hAnsi="Cambria"/>
          <w:b/>
          <w:bCs/>
          <w:caps/>
          <w:color w:val="000000" w:themeColor="text1"/>
          <w:sz w:val="24"/>
          <w:szCs w:val="28"/>
        </w:rPr>
        <w:t>References</w:t>
      </w:r>
      <w:r w:rsidRPr="001E60AA">
        <w:rPr>
          <w:rFonts w:ascii="Cambria" w:hAnsi="Cambria"/>
          <w:b/>
          <w:bCs/>
          <w:color w:val="000000" w:themeColor="text1"/>
          <w:sz w:val="24"/>
          <w:szCs w:val="28"/>
        </w:rPr>
        <w:t xml:space="preserve"> </w:t>
      </w:r>
    </w:p>
    <w:p w14:paraId="68B5D6EB"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Akinyode, B. F., &amp; Khan, T. H. (2018). Step by step approach for qualitative data analysis. </w:t>
      </w:r>
      <w:r w:rsidRPr="001E60AA">
        <w:rPr>
          <w:rFonts w:ascii="Cambria" w:hAnsi="Cambria"/>
          <w:bCs/>
          <w:i/>
          <w:iCs/>
          <w:color w:val="000000" w:themeColor="text1"/>
          <w:sz w:val="24"/>
          <w:szCs w:val="28"/>
        </w:rPr>
        <w:t>International Journal of Built Environment and Sustainability</w:t>
      </w:r>
      <w:r w:rsidRPr="001E60AA">
        <w:rPr>
          <w:rFonts w:ascii="Cambria" w:hAnsi="Cambria"/>
          <w:bCs/>
          <w:color w:val="000000" w:themeColor="text1"/>
          <w:sz w:val="24"/>
          <w:szCs w:val="28"/>
        </w:rPr>
        <w:t>, 5 (3), 163–174.</w:t>
      </w:r>
    </w:p>
    <w:p w14:paraId="2302E9A9"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lastRenderedPageBreak/>
        <w:t xml:space="preserve">Alarifi, A., Mishra, N. P., Das, S. S., Yadav, S., Khan, W., Afzal, M., &amp; Nayak, A. K. (2020). Global impacts of pre- and post-COVID-19 pandemic: Focus on socio-economic consequences. </w:t>
      </w:r>
      <w:r w:rsidRPr="001E60AA">
        <w:rPr>
          <w:rFonts w:ascii="Cambria" w:hAnsi="Cambria"/>
          <w:bCs/>
          <w:i/>
          <w:iCs/>
          <w:color w:val="000000" w:themeColor="text1"/>
          <w:sz w:val="24"/>
          <w:szCs w:val="28"/>
        </w:rPr>
        <w:t>Sensors International</w:t>
      </w:r>
      <w:r w:rsidRPr="001E60AA">
        <w:rPr>
          <w:rFonts w:ascii="Cambria" w:hAnsi="Cambria"/>
          <w:bCs/>
          <w:color w:val="000000" w:themeColor="text1"/>
          <w:sz w:val="24"/>
          <w:szCs w:val="28"/>
        </w:rPr>
        <w:t>, 1</w:t>
      </w:r>
      <w:r w:rsidRPr="001E60AA">
        <w:rPr>
          <w:rFonts w:ascii="Cambria" w:hAnsi="Cambria"/>
          <w:bCs/>
          <w:color w:val="000000" w:themeColor="text1"/>
          <w:sz w:val="24"/>
          <w:szCs w:val="28"/>
          <w:lang w:val="en-US"/>
        </w:rPr>
        <w:t>.</w:t>
      </w:r>
      <w:r w:rsidRPr="001E60AA">
        <w:rPr>
          <w:rFonts w:ascii="Cambria" w:hAnsi="Cambria"/>
          <w:bCs/>
          <w:color w:val="000000" w:themeColor="text1"/>
          <w:sz w:val="24"/>
          <w:szCs w:val="28"/>
        </w:rPr>
        <w:t xml:space="preserve"> </w:t>
      </w:r>
    </w:p>
    <w:p w14:paraId="41CACEA3"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Baidhawy, Z. (2015). The role of faith-based organization in coping with disaster management and mitigation Muhammadiyah’s experience. </w:t>
      </w:r>
      <w:r w:rsidRPr="001E60AA">
        <w:rPr>
          <w:rFonts w:ascii="Cambria" w:hAnsi="Cambria"/>
          <w:bCs/>
          <w:i/>
          <w:iCs/>
          <w:color w:val="000000" w:themeColor="text1"/>
          <w:sz w:val="24"/>
          <w:szCs w:val="28"/>
        </w:rPr>
        <w:t>Journal of Indonesian Islam</w:t>
      </w:r>
      <w:r w:rsidRPr="001E60AA">
        <w:rPr>
          <w:rFonts w:ascii="Cambria" w:hAnsi="Cambria"/>
          <w:bCs/>
          <w:color w:val="000000" w:themeColor="text1"/>
          <w:sz w:val="24"/>
          <w:szCs w:val="28"/>
        </w:rPr>
        <w:t>, 9, 167–194</w:t>
      </w:r>
    </w:p>
    <w:p w14:paraId="1C661FAE"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Baxter, P., &amp; Jack, S. (2008). Qualitative case study methodology: Study design and implementation for novice researchers. The Qualitative Report, 13(4), 544-559. Diakses dari http://nsuworks.nova.edu/ tqr/vol13/iss4/2 </w:t>
      </w:r>
    </w:p>
    <w:p w14:paraId="14DA0F3C"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Burhani, Ahmad Najib. (2020). Comparing Tablighi Jamaat and Muhammadiyah Responses to COVID-19, Singapura : </w:t>
      </w:r>
      <w:r w:rsidRPr="001E60AA">
        <w:rPr>
          <w:rFonts w:ascii="Cambria" w:hAnsi="Cambria"/>
          <w:bCs/>
          <w:i/>
          <w:iCs/>
          <w:color w:val="000000" w:themeColor="text1"/>
          <w:sz w:val="24"/>
          <w:szCs w:val="28"/>
        </w:rPr>
        <w:t>ISEAS Yusof Ishak Institute</w:t>
      </w:r>
      <w:r w:rsidRPr="001E60AA">
        <w:rPr>
          <w:rFonts w:ascii="Cambria" w:hAnsi="Cambria"/>
          <w:bCs/>
          <w:color w:val="000000" w:themeColor="text1"/>
          <w:sz w:val="24"/>
          <w:szCs w:val="28"/>
        </w:rPr>
        <w:t xml:space="preserve">, 13 Juli 2020 ISSUE: 2020 No. 75 </w:t>
      </w:r>
    </w:p>
    <w:p w14:paraId="0C872D0B"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Creswell, John W. (2007) </w:t>
      </w:r>
      <w:r w:rsidRPr="001E60AA">
        <w:rPr>
          <w:rFonts w:ascii="Cambria" w:hAnsi="Cambria"/>
          <w:bCs/>
          <w:i/>
          <w:iCs/>
          <w:color w:val="000000" w:themeColor="text1"/>
          <w:sz w:val="24"/>
          <w:szCs w:val="28"/>
        </w:rPr>
        <w:t>Qualitative Inquiry &amp; Research Design Choosing Among Five Approaches</w:t>
      </w:r>
      <w:r w:rsidRPr="001E60AA">
        <w:rPr>
          <w:rFonts w:ascii="Cambria" w:hAnsi="Cambria"/>
          <w:bCs/>
          <w:color w:val="000000" w:themeColor="text1"/>
          <w:sz w:val="24"/>
          <w:szCs w:val="28"/>
        </w:rPr>
        <w:t xml:space="preserve">. California: Sage Publication Inc </w:t>
      </w:r>
    </w:p>
    <w:p w14:paraId="38D7B3F9"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Danga, C. M., Prakoso, L. Y., Hutajulu, B. P., &amp; Fahlevie, R. A. (2023). Perkembangan doktrin sistem dan keamanan negara Indonesia. </w:t>
      </w:r>
      <w:r w:rsidRPr="001E60AA">
        <w:rPr>
          <w:rFonts w:ascii="Cambria" w:hAnsi="Cambria"/>
          <w:bCs/>
          <w:i/>
          <w:iCs/>
          <w:color w:val="000000" w:themeColor="text1"/>
          <w:sz w:val="24"/>
          <w:szCs w:val="28"/>
        </w:rPr>
        <w:t>JUSTISI: Jurnal Ilmu Hukum</w:t>
      </w:r>
      <w:r w:rsidRPr="001E60AA">
        <w:rPr>
          <w:rFonts w:ascii="Cambria" w:hAnsi="Cambria"/>
          <w:bCs/>
          <w:color w:val="000000" w:themeColor="text1"/>
          <w:sz w:val="24"/>
          <w:szCs w:val="28"/>
        </w:rPr>
        <w:t>, 9(2), 104–115.</w:t>
      </w:r>
    </w:p>
    <w:p w14:paraId="46201B0B"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Djalante, Riyanti., Lassa, Jonathan., Setiamarga, Davin., Sudjatma, Aruminingsih., Indrawan, Mochamad., Haryanto, Budi., Mahfud, Choirul., Sinapoy, Muhammad Sabaruddin., Djalante, Susanti., Rafliana, Irina., Gunawan, Lalu Adi., Ketut Surtiari, Gusti Ayu., Warsilah, Henny., Review and Analysis of Current Responses to Covid-19 in Indonesia: Period of January to March 2020, </w:t>
      </w:r>
      <w:r w:rsidRPr="001E60AA">
        <w:rPr>
          <w:rFonts w:ascii="Cambria" w:hAnsi="Cambria"/>
          <w:bCs/>
          <w:i/>
          <w:iCs/>
          <w:color w:val="000000" w:themeColor="text1"/>
          <w:sz w:val="24"/>
          <w:szCs w:val="28"/>
        </w:rPr>
        <w:t>Progres in Disaster Science</w:t>
      </w:r>
      <w:r w:rsidRPr="001E60AA">
        <w:rPr>
          <w:rFonts w:ascii="Cambria" w:hAnsi="Cambria"/>
          <w:bCs/>
          <w:color w:val="000000" w:themeColor="text1"/>
          <w:sz w:val="24"/>
          <w:szCs w:val="28"/>
        </w:rPr>
        <w:t xml:space="preserve"> 6 (2020) 100091</w:t>
      </w:r>
    </w:p>
    <w:p w14:paraId="58BA48B1"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Fathurrohman, U., &amp; Supriyadi, A. A. (2024). Sistem pertahanan semesta bagi model pemberdayaan masyarakat berdasarkan konsep tata kelola polisentris. </w:t>
      </w:r>
      <w:r w:rsidRPr="001E60AA">
        <w:rPr>
          <w:rFonts w:ascii="Cambria" w:hAnsi="Cambria"/>
          <w:bCs/>
          <w:i/>
          <w:iCs/>
          <w:color w:val="000000" w:themeColor="text1"/>
          <w:sz w:val="24"/>
          <w:szCs w:val="28"/>
        </w:rPr>
        <w:t>Journal of National Paradigm-Based Resilience Strategy</w:t>
      </w:r>
      <w:r w:rsidRPr="001E60AA">
        <w:rPr>
          <w:rFonts w:ascii="Cambria" w:hAnsi="Cambria"/>
          <w:bCs/>
          <w:color w:val="000000" w:themeColor="text1"/>
          <w:sz w:val="24"/>
          <w:szCs w:val="28"/>
        </w:rPr>
        <w:t xml:space="preserve"> (NAPBRES), 1(2), 121–129.</w:t>
      </w:r>
    </w:p>
    <w:p w14:paraId="7D838404"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Huitema, D., Jordan, A., van Asselt, H., &amp; Patterson, J. (2019). Polycentric governance and climate change. In V. Galaz (Ed.), Global Challenges, Governance, and Complexity: Applications and Frontiers (pp. 124–146). Edward Elgar Publishing.</w:t>
      </w:r>
    </w:p>
    <w:p w14:paraId="396C85DD"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Ichsan, M. (2022). Handling natural hazards in Indonesia amid the COVID-19 pandemi: Muhammadiyah’s response and strategy. </w:t>
      </w:r>
      <w:r w:rsidRPr="001E60AA">
        <w:rPr>
          <w:rFonts w:ascii="Cambria" w:hAnsi="Cambria"/>
          <w:bCs/>
          <w:i/>
          <w:iCs/>
          <w:color w:val="000000" w:themeColor="text1"/>
          <w:sz w:val="24"/>
          <w:szCs w:val="28"/>
        </w:rPr>
        <w:t>Jàmbá Journal of Disaster Risk Studies</w:t>
      </w:r>
      <w:r w:rsidRPr="001E60AA">
        <w:rPr>
          <w:rFonts w:ascii="Cambria" w:hAnsi="Cambria"/>
          <w:bCs/>
          <w:color w:val="000000" w:themeColor="text1"/>
          <w:sz w:val="24"/>
          <w:szCs w:val="28"/>
        </w:rPr>
        <w:t>, 14(1)</w:t>
      </w:r>
    </w:p>
    <w:p w14:paraId="1358453B"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Kusnadi, A., Dunda, A. S., Alim, A. M., Budiman, A., Kurniawan, D. W., Nurjaman, H., Isngadi, Marwah, A., &amp; Rais, I. (2020). </w:t>
      </w:r>
      <w:r w:rsidRPr="001E60AA">
        <w:rPr>
          <w:rFonts w:ascii="Cambria" w:hAnsi="Cambria"/>
          <w:bCs/>
          <w:i/>
          <w:iCs/>
          <w:color w:val="000000" w:themeColor="text1"/>
          <w:sz w:val="24"/>
          <w:szCs w:val="28"/>
        </w:rPr>
        <w:t>Muhammadiyah membangun kesehatan bangsa.</w:t>
      </w:r>
      <w:r w:rsidRPr="001E60AA">
        <w:rPr>
          <w:rFonts w:ascii="Cambria" w:hAnsi="Cambria"/>
          <w:bCs/>
          <w:color w:val="000000" w:themeColor="text1"/>
          <w:sz w:val="24"/>
          <w:szCs w:val="28"/>
        </w:rPr>
        <w:t xml:space="preserve"> Jakarta: Majelis Pembina Kesehatan Umum Pimpinan Pusat Muhammadiyah (MPKU PP Muhammadiyah).</w:t>
      </w:r>
    </w:p>
    <w:p w14:paraId="3C64A906"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Kusuma, E., Prakoso, L. Y., &amp; Dadang, D. (2021). Strategi pertahanan semesta menjaga identitas nasional mendukung Indonesia poros maritim dunia. </w:t>
      </w:r>
      <w:r w:rsidRPr="001E60AA">
        <w:rPr>
          <w:rFonts w:ascii="Cambria" w:hAnsi="Cambria"/>
          <w:bCs/>
          <w:i/>
          <w:iCs/>
          <w:color w:val="000000" w:themeColor="text1"/>
          <w:sz w:val="24"/>
          <w:szCs w:val="28"/>
        </w:rPr>
        <w:t>Jurnal Strategi Perang Semesta</w:t>
      </w:r>
      <w:r w:rsidRPr="001E60AA">
        <w:rPr>
          <w:rFonts w:ascii="Cambria" w:hAnsi="Cambria"/>
          <w:bCs/>
          <w:color w:val="000000" w:themeColor="text1"/>
          <w:sz w:val="24"/>
          <w:szCs w:val="28"/>
        </w:rPr>
        <w:t>, 7(2), 1–12.</w:t>
      </w:r>
    </w:p>
    <w:p w14:paraId="7CB514AE"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Maryati, T., Rimiyati, H., &amp; Sari, F. P. (2022). Pemberdayaan ekonomi anggota Ranting Aisyiyah melalui Gerakan Lumbung Hidup Aisyiyah. </w:t>
      </w:r>
      <w:r w:rsidRPr="001E60AA">
        <w:rPr>
          <w:rFonts w:ascii="Cambria" w:hAnsi="Cambria"/>
          <w:bCs/>
          <w:i/>
          <w:iCs/>
          <w:color w:val="000000" w:themeColor="text1"/>
          <w:sz w:val="24"/>
          <w:szCs w:val="28"/>
        </w:rPr>
        <w:t>Warta LPM: Jurnal Pengabdian kepada Masyarakat</w:t>
      </w:r>
      <w:r w:rsidRPr="001E60AA">
        <w:rPr>
          <w:rFonts w:ascii="Cambria" w:hAnsi="Cambria"/>
          <w:bCs/>
          <w:color w:val="000000" w:themeColor="text1"/>
          <w:sz w:val="24"/>
          <w:szCs w:val="28"/>
        </w:rPr>
        <w:t>, 25(3), 324–333.</w:t>
      </w:r>
    </w:p>
    <w:p w14:paraId="49E75EAE"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Mulkhan, Abdul Munir. (2000). </w:t>
      </w:r>
      <w:r w:rsidRPr="001E60AA">
        <w:rPr>
          <w:rFonts w:ascii="Cambria" w:hAnsi="Cambria"/>
          <w:bCs/>
          <w:i/>
          <w:iCs/>
          <w:color w:val="000000" w:themeColor="text1"/>
          <w:sz w:val="24"/>
          <w:szCs w:val="28"/>
        </w:rPr>
        <w:t>Islam Murni dalam Masyarakat Petani</w:t>
      </w:r>
      <w:r w:rsidRPr="001E60AA">
        <w:rPr>
          <w:rFonts w:ascii="Cambria" w:hAnsi="Cambria"/>
          <w:bCs/>
          <w:color w:val="000000" w:themeColor="text1"/>
          <w:sz w:val="24"/>
          <w:szCs w:val="28"/>
        </w:rPr>
        <w:t>. Yogyakarta : Bentang</w:t>
      </w:r>
    </w:p>
    <w:p w14:paraId="4C2822A2"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lastRenderedPageBreak/>
        <w:t xml:space="preserve">Muttaqin, A. (2021). Religion, science, and culture amidst the Covid-19 pandemic: Muhammadiyah’s worship guidance and members’ response. </w:t>
      </w:r>
      <w:r w:rsidRPr="001E60AA">
        <w:rPr>
          <w:rFonts w:ascii="Cambria" w:hAnsi="Cambria"/>
          <w:bCs/>
          <w:i/>
          <w:iCs/>
          <w:color w:val="000000" w:themeColor="text1"/>
          <w:sz w:val="24"/>
          <w:szCs w:val="28"/>
        </w:rPr>
        <w:t>Al-Albab: Journal of Religion and Culture,</w:t>
      </w:r>
      <w:r w:rsidRPr="001E60AA">
        <w:rPr>
          <w:rFonts w:ascii="Cambria" w:hAnsi="Cambria"/>
          <w:bCs/>
          <w:color w:val="000000" w:themeColor="text1"/>
          <w:sz w:val="24"/>
          <w:szCs w:val="28"/>
        </w:rPr>
        <w:t xml:space="preserve"> 10(1), 3–22.</w:t>
      </w:r>
    </w:p>
    <w:p w14:paraId="3AC5907F"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Nashir, Haedar. (2020). </w:t>
      </w:r>
      <w:r w:rsidRPr="001E60AA">
        <w:rPr>
          <w:rFonts w:ascii="Cambria" w:hAnsi="Cambria"/>
          <w:bCs/>
          <w:i/>
          <w:iCs/>
          <w:color w:val="000000" w:themeColor="text1"/>
          <w:sz w:val="24"/>
          <w:szCs w:val="28"/>
        </w:rPr>
        <w:t>Muhammadiyah Gerakan Pembaruan</w:t>
      </w:r>
      <w:r w:rsidRPr="001E60AA">
        <w:rPr>
          <w:rFonts w:ascii="Cambria" w:hAnsi="Cambria"/>
          <w:bCs/>
          <w:color w:val="000000" w:themeColor="text1"/>
          <w:sz w:val="24"/>
          <w:szCs w:val="28"/>
        </w:rPr>
        <w:t>. Yogyakarta : Suara Muhammadiyah</w:t>
      </w:r>
    </w:p>
    <w:p w14:paraId="48452457"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Nurhadi, N., Yuda, T. K., Kafaa, K. A., &amp; Pratiyudha, P. P. (2023). Changing welfare solidarity: social policy and solidarity ventures during COVID-19 outbreak in Indonesia. </w:t>
      </w:r>
      <w:r w:rsidRPr="001E60AA">
        <w:rPr>
          <w:rFonts w:ascii="Cambria" w:hAnsi="Cambria"/>
          <w:bCs/>
          <w:i/>
          <w:iCs/>
          <w:color w:val="000000" w:themeColor="text1"/>
          <w:sz w:val="24"/>
          <w:szCs w:val="28"/>
        </w:rPr>
        <w:t>Journal of Asian Public Policy</w:t>
      </w:r>
      <w:r w:rsidRPr="001E60AA">
        <w:rPr>
          <w:rFonts w:ascii="Cambria" w:hAnsi="Cambria"/>
          <w:bCs/>
          <w:color w:val="000000" w:themeColor="text1"/>
          <w:sz w:val="24"/>
          <w:szCs w:val="28"/>
        </w:rPr>
        <w:t xml:space="preserve">, 18(1), 163–183. </w:t>
      </w:r>
    </w:p>
    <w:p w14:paraId="1F8FED08"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Pan, K., &amp; Yue, X.-G. (2022). Multidimensional effect of COVID-19 on the economy: Evidence from survey data. </w:t>
      </w:r>
      <w:r w:rsidRPr="001E60AA">
        <w:rPr>
          <w:rFonts w:ascii="Cambria" w:hAnsi="Cambria"/>
          <w:bCs/>
          <w:i/>
          <w:iCs/>
          <w:color w:val="000000" w:themeColor="text1"/>
          <w:sz w:val="24"/>
          <w:szCs w:val="28"/>
        </w:rPr>
        <w:t>Economic Research-Ekonomska Istraživanja</w:t>
      </w:r>
      <w:r w:rsidRPr="001E60AA">
        <w:rPr>
          <w:rFonts w:ascii="Cambria" w:hAnsi="Cambria"/>
          <w:bCs/>
          <w:color w:val="000000" w:themeColor="text1"/>
          <w:sz w:val="24"/>
          <w:szCs w:val="28"/>
        </w:rPr>
        <w:t>, 35(1), 1658–1685.</w:t>
      </w:r>
    </w:p>
    <w:p w14:paraId="6F85140F"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Piliyati, Indah., Latief, H., Anwar, S., (2022). Technologizing Islamic Philanthropy During the Covid-19 Pandemic in Indonesia, </w:t>
      </w:r>
      <w:r w:rsidRPr="001E60AA">
        <w:rPr>
          <w:rFonts w:ascii="Cambria" w:hAnsi="Cambria"/>
          <w:bCs/>
          <w:i/>
          <w:iCs/>
          <w:color w:val="000000" w:themeColor="text1"/>
          <w:sz w:val="24"/>
          <w:szCs w:val="28"/>
        </w:rPr>
        <w:t>Journal of Muslim Philanthropy &amp; Civil Society</w:t>
      </w:r>
      <w:r w:rsidRPr="001E60AA">
        <w:rPr>
          <w:rFonts w:ascii="Cambria" w:hAnsi="Cambria"/>
          <w:bCs/>
          <w:color w:val="000000" w:themeColor="text1"/>
          <w:sz w:val="24"/>
          <w:szCs w:val="28"/>
        </w:rPr>
        <w:t xml:space="preserve">, 6 (2). </w:t>
      </w:r>
    </w:p>
    <w:p w14:paraId="5F5F8094"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Purwaningsih, T., &amp; Amrurobbi, A. A. (2021). </w:t>
      </w:r>
      <w:r w:rsidRPr="001E60AA">
        <w:rPr>
          <w:rFonts w:ascii="Cambria" w:hAnsi="Cambria"/>
          <w:bCs/>
          <w:i/>
          <w:iCs/>
          <w:color w:val="000000" w:themeColor="text1"/>
          <w:sz w:val="24"/>
          <w:szCs w:val="28"/>
        </w:rPr>
        <w:t>Muhammadiyah dalam penanganan krisis kesehatan Covid-19 di Indonesia. Dalam Inovasi Pelayanan Publik di Era New Normal</w:t>
      </w:r>
      <w:r w:rsidRPr="001E60AA">
        <w:rPr>
          <w:rFonts w:ascii="Cambria" w:hAnsi="Cambria"/>
          <w:bCs/>
          <w:color w:val="000000" w:themeColor="text1"/>
          <w:sz w:val="24"/>
          <w:szCs w:val="28"/>
        </w:rPr>
        <w:t>. Yogyakarta: Penerbit Samudra Biru.</w:t>
      </w:r>
    </w:p>
    <w:p w14:paraId="6DD494CA"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Rusfiana, Y. (2021). Aktualisasi sistem pertahanan rakyat semesta (Sishanta) dan dinamika potensi ancaman. </w:t>
      </w:r>
      <w:r w:rsidRPr="001E60AA">
        <w:rPr>
          <w:rFonts w:ascii="Cambria" w:hAnsi="Cambria"/>
          <w:bCs/>
          <w:i/>
          <w:iCs/>
          <w:color w:val="000000" w:themeColor="text1"/>
          <w:sz w:val="24"/>
          <w:szCs w:val="28"/>
        </w:rPr>
        <w:t>Jurnal Moderat</w:t>
      </w:r>
      <w:r w:rsidRPr="001E60AA">
        <w:rPr>
          <w:rFonts w:ascii="Cambria" w:hAnsi="Cambria"/>
          <w:bCs/>
          <w:color w:val="000000" w:themeColor="text1"/>
          <w:sz w:val="24"/>
          <w:szCs w:val="28"/>
        </w:rPr>
        <w:t>, 7(3), 1–15</w:t>
      </w:r>
    </w:p>
    <w:p w14:paraId="0F5D0039"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Rush, James R., (2017). </w:t>
      </w:r>
      <w:r w:rsidRPr="001E60AA">
        <w:rPr>
          <w:rFonts w:ascii="Cambria" w:hAnsi="Cambria"/>
          <w:bCs/>
          <w:i/>
          <w:iCs/>
          <w:color w:val="000000" w:themeColor="text1"/>
          <w:sz w:val="24"/>
          <w:szCs w:val="28"/>
        </w:rPr>
        <w:t>Adi Cerita HAMKA : Visi Islam Sang Penulis Besar untuk Indonesia Modern</w:t>
      </w:r>
      <w:r w:rsidRPr="001E60AA">
        <w:rPr>
          <w:rFonts w:ascii="Cambria" w:hAnsi="Cambria"/>
          <w:bCs/>
          <w:color w:val="000000" w:themeColor="text1"/>
          <w:sz w:val="24"/>
          <w:szCs w:val="28"/>
        </w:rPr>
        <w:t>, Jakarta : Gramedia Pustaka Utama.</w:t>
      </w:r>
    </w:p>
    <w:p w14:paraId="7DDE417A"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Sadikin, S. (2021). The Transformation of MDMC Social Piety in Forming Public Spaces in the Middle of the Covid-19 Pandemi in Indonesia. </w:t>
      </w:r>
      <w:r w:rsidRPr="001E60AA">
        <w:rPr>
          <w:rFonts w:ascii="Cambria" w:hAnsi="Cambria"/>
          <w:bCs/>
          <w:i/>
          <w:iCs/>
          <w:color w:val="000000" w:themeColor="text1"/>
          <w:sz w:val="24"/>
          <w:szCs w:val="28"/>
        </w:rPr>
        <w:t>Halaqa: Islamic Education Journal</w:t>
      </w:r>
      <w:r w:rsidRPr="001E60AA">
        <w:rPr>
          <w:rFonts w:ascii="Cambria" w:hAnsi="Cambria"/>
          <w:bCs/>
          <w:color w:val="000000" w:themeColor="text1"/>
          <w:sz w:val="24"/>
          <w:szCs w:val="28"/>
        </w:rPr>
        <w:t>, 5, 21–28</w:t>
      </w:r>
    </w:p>
    <w:p w14:paraId="5282DD0E"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Samudro, E. G., &amp; Madjid, M. A. (2020). Pemerintah Indonesia menghadapi bencana nasional Covid-19 yang mengancam ketahanan nasional. </w:t>
      </w:r>
      <w:r w:rsidRPr="001E60AA">
        <w:rPr>
          <w:rFonts w:ascii="Cambria" w:hAnsi="Cambria"/>
          <w:bCs/>
          <w:i/>
          <w:iCs/>
          <w:color w:val="000000" w:themeColor="text1"/>
          <w:sz w:val="24"/>
          <w:szCs w:val="28"/>
        </w:rPr>
        <w:t>Jurnal Ketahanan Nasional</w:t>
      </w:r>
      <w:r w:rsidRPr="001E60AA">
        <w:rPr>
          <w:rFonts w:ascii="Cambria" w:hAnsi="Cambria"/>
          <w:bCs/>
          <w:color w:val="000000" w:themeColor="text1"/>
          <w:sz w:val="24"/>
          <w:szCs w:val="28"/>
        </w:rPr>
        <w:t>, 26(2), 132–154.</w:t>
      </w:r>
    </w:p>
    <w:p w14:paraId="0167461F"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Suswanto, D. (2024). Politik hukum masa darurat pandemi COVID-19 dalam perspektif otonomi desa. </w:t>
      </w:r>
      <w:r w:rsidRPr="001E60AA">
        <w:rPr>
          <w:rFonts w:ascii="Cambria" w:hAnsi="Cambria"/>
          <w:bCs/>
          <w:i/>
          <w:iCs/>
          <w:color w:val="000000" w:themeColor="text1"/>
          <w:sz w:val="24"/>
          <w:szCs w:val="28"/>
        </w:rPr>
        <w:t>Res Nullius Law Journal</w:t>
      </w:r>
      <w:r w:rsidRPr="001E60AA">
        <w:rPr>
          <w:rFonts w:ascii="Cambria" w:hAnsi="Cambria"/>
          <w:bCs/>
          <w:color w:val="000000" w:themeColor="text1"/>
          <w:sz w:val="24"/>
          <w:szCs w:val="28"/>
        </w:rPr>
        <w:t>, 6(1), 73-81</w:t>
      </w:r>
    </w:p>
    <w:p w14:paraId="71F9B32E" w14:textId="77777777" w:rsidR="00036077" w:rsidRPr="001E60AA" w:rsidRDefault="00036077" w:rsidP="00036077">
      <w:pPr>
        <w:spacing w:line="276" w:lineRule="auto"/>
        <w:ind w:left="284" w:hanging="284"/>
        <w:rPr>
          <w:rFonts w:ascii="Cambria" w:hAnsi="Cambria"/>
          <w:bCs/>
          <w:color w:val="000000" w:themeColor="text1"/>
          <w:sz w:val="24"/>
          <w:szCs w:val="28"/>
        </w:rPr>
      </w:pPr>
      <w:r w:rsidRPr="001E60AA">
        <w:rPr>
          <w:rFonts w:ascii="Cambria" w:hAnsi="Cambria"/>
          <w:bCs/>
          <w:color w:val="000000" w:themeColor="text1"/>
          <w:sz w:val="24"/>
          <w:szCs w:val="28"/>
        </w:rPr>
        <w:t xml:space="preserve">Yusuf, M. A., Danga, C. M., Prakoso, L. Y., Tumanggor, M., &amp; Sakum. (2023). Penyelenggaraan pertahanan nirmiliter Indonesia. </w:t>
      </w:r>
      <w:r w:rsidRPr="001E60AA">
        <w:rPr>
          <w:rFonts w:ascii="Cambria" w:hAnsi="Cambria"/>
          <w:bCs/>
          <w:i/>
          <w:iCs/>
          <w:color w:val="000000" w:themeColor="text1"/>
          <w:sz w:val="24"/>
          <w:szCs w:val="28"/>
        </w:rPr>
        <w:t>Jurnal Sosial dan Sains</w:t>
      </w:r>
      <w:r w:rsidRPr="001E60AA">
        <w:rPr>
          <w:rFonts w:ascii="Cambria" w:hAnsi="Cambria"/>
          <w:bCs/>
          <w:color w:val="000000" w:themeColor="text1"/>
          <w:sz w:val="24"/>
          <w:szCs w:val="28"/>
        </w:rPr>
        <w:t>, 3(10), 1072–1083.</w:t>
      </w:r>
    </w:p>
    <w:p w14:paraId="135BD417" w14:textId="77777777" w:rsidR="00036077" w:rsidRPr="001E60AA" w:rsidRDefault="00036077" w:rsidP="00036077">
      <w:pPr>
        <w:spacing w:line="276" w:lineRule="auto"/>
        <w:rPr>
          <w:rFonts w:ascii="Cambria" w:hAnsi="Cambria"/>
          <w:color w:val="000000" w:themeColor="text1"/>
          <w:sz w:val="24"/>
          <w:lang w:val="en-US"/>
        </w:rPr>
      </w:pPr>
    </w:p>
    <w:p w14:paraId="2053A5B9" w14:textId="77777777" w:rsidR="00486523" w:rsidRDefault="00486523"/>
    <w:sectPr w:rsidR="00486523" w:rsidSect="00C25311">
      <w:type w:val="continuous"/>
      <w:pgSz w:w="11907" w:h="16839"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4859481"/>
      <w:docPartObj>
        <w:docPartGallery w:val="Page Numbers (Bottom of Page)"/>
        <w:docPartUnique/>
      </w:docPartObj>
    </w:sdtPr>
    <w:sdtEndPr>
      <w:rPr>
        <w:noProof/>
      </w:rPr>
    </w:sdtEndPr>
    <w:sdtContent>
      <w:p w14:paraId="1EFA7AA7" w14:textId="77777777" w:rsidR="00F26C71" w:rsidRDefault="00417743">
        <w:pPr>
          <w:pStyle w:val="Footer"/>
        </w:pPr>
        <w:r>
          <w:fldChar w:fldCharType="begin"/>
        </w:r>
        <w:r>
          <w:instrText xml:space="preserve"> PAGE   \* MERGEFORMAT </w:instrText>
        </w:r>
        <w:r>
          <w:fldChar w:fldCharType="separate"/>
        </w:r>
        <w:r>
          <w:rPr>
            <w:noProof/>
          </w:rPr>
          <w:t>2</w:t>
        </w:r>
        <w:r>
          <w:rPr>
            <w:noProof/>
          </w:rPr>
          <w:fldChar w:fldCharType="end"/>
        </w:r>
      </w:p>
    </w:sdtContent>
  </w:sdt>
  <w:p w14:paraId="0A401AD5" w14:textId="77777777" w:rsidR="00F26C71" w:rsidRDefault="00417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9797E" w14:textId="77777777" w:rsidR="00441484" w:rsidRDefault="00417743">
    <w:pPr>
      <w:pStyle w:val="Footer"/>
      <w:jc w:val="right"/>
    </w:pPr>
    <w:r>
      <w:fldChar w:fldCharType="begin"/>
    </w:r>
    <w:r>
      <w:instrText xml:space="preserve"> PAGE   \* MERGEFORMAT </w:instrText>
    </w:r>
    <w:r>
      <w:fldChar w:fldCharType="separate"/>
    </w:r>
    <w:r>
      <w:rPr>
        <w:noProof/>
      </w:rPr>
      <w:t>3</w:t>
    </w:r>
    <w:r>
      <w:fldChar w:fldCharType="end"/>
    </w:r>
  </w:p>
  <w:p w14:paraId="57D6C810" w14:textId="77777777" w:rsidR="00441484" w:rsidRDefault="004177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2151938"/>
      <w:docPartObj>
        <w:docPartGallery w:val="Page Numbers (Bottom of Page)"/>
        <w:docPartUnique/>
      </w:docPartObj>
    </w:sdtPr>
    <w:sdtEndPr/>
    <w:sdtContent>
      <w:p w14:paraId="780398EB" w14:textId="77777777" w:rsidR="00712890" w:rsidRDefault="00417743">
        <w:pPr>
          <w:pStyle w:val="Footer"/>
          <w:jc w:val="right"/>
        </w:pPr>
        <w:r>
          <w:fldChar w:fldCharType="begin"/>
        </w:r>
        <w:r>
          <w:instrText>PAGE   \* MERGEFORMAT</w:instrText>
        </w:r>
        <w:r>
          <w:fldChar w:fldCharType="separate"/>
        </w:r>
        <w:r>
          <w:t>2</w:t>
        </w:r>
        <w:r>
          <w:fldChar w:fldCharType="end"/>
        </w:r>
      </w:p>
    </w:sdtContent>
  </w:sdt>
  <w:p w14:paraId="3D0E6622" w14:textId="77777777" w:rsidR="00712890" w:rsidRDefault="00417743">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9597" w14:textId="77777777" w:rsidR="003F77E1" w:rsidRPr="000F2FAD" w:rsidRDefault="00417743" w:rsidP="003F77E1">
    <w:pPr>
      <w:pStyle w:val="Header"/>
      <w:pBdr>
        <w:bottom w:val="single" w:sz="4" w:space="1" w:color="auto"/>
      </w:pBdr>
      <w:jc w:val="center"/>
      <w:rPr>
        <w:lang w:val="en-US"/>
      </w:rPr>
    </w:pPr>
    <w:r>
      <w:rPr>
        <w:rFonts w:eastAsia="Times New Roman"/>
        <w:sz w:val="19"/>
        <w:szCs w:val="19"/>
        <w:lang w:val="en-US"/>
      </w:rPr>
      <w:t>L</w:t>
    </w:r>
    <w:r w:rsidRPr="00E7204A">
      <w:rPr>
        <w:rFonts w:eastAsia="Times New Roman"/>
        <w:sz w:val="19"/>
        <w:szCs w:val="19"/>
      </w:rPr>
      <w:t xml:space="preserve">ast Name of </w:t>
    </w:r>
    <w:r>
      <w:rPr>
        <w:rFonts w:eastAsia="Times New Roman"/>
        <w:sz w:val="19"/>
        <w:szCs w:val="19"/>
        <w:lang w:val="en-US"/>
      </w:rPr>
      <w:t xml:space="preserve">the </w:t>
    </w:r>
    <w:r w:rsidRPr="00E7204A">
      <w:rPr>
        <w:rFonts w:eastAsia="Times New Roman"/>
        <w:sz w:val="19"/>
        <w:szCs w:val="19"/>
      </w:rPr>
      <w:t>Author(s)/Jurnal Pertahanan Vol x. No. x (2020) pp. 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446E" w14:textId="77777777" w:rsidR="00637593" w:rsidRDefault="00417743" w:rsidP="00441484">
    <w:pPr>
      <w:pStyle w:val="Header"/>
      <w:pBdr>
        <w:bottom w:val="single" w:sz="4" w:space="1" w:color="auto"/>
      </w:pBdr>
      <w:jc w:val="center"/>
      <w:rPr>
        <w:rFonts w:eastAsia="Times New Roman"/>
        <w:sz w:val="19"/>
        <w:szCs w:val="19"/>
      </w:rPr>
    </w:pPr>
  </w:p>
  <w:p w14:paraId="27DE0036" w14:textId="77777777" w:rsidR="00637593" w:rsidRPr="00712890" w:rsidRDefault="00417743" w:rsidP="00712890">
    <w:pPr>
      <w:pStyle w:val="Header"/>
      <w:pBdr>
        <w:bottom w:val="single" w:sz="4" w:space="1" w:color="auto"/>
      </w:pBdr>
      <w:jc w:val="right"/>
      <w:rPr>
        <w:rFonts w:eastAsia="Times New Roman"/>
        <w:sz w:val="19"/>
        <w:szCs w:val="19"/>
        <w:lang w:val="en-US"/>
      </w:rPr>
    </w:pPr>
    <w:r>
      <w:rPr>
        <w:rFonts w:eastAsia="Times New Roman"/>
        <w:sz w:val="19"/>
        <w:szCs w:val="19"/>
        <w:lang w:val="en-US"/>
      </w:rPr>
      <w:t>Insert Your Title Here, Capitalize Each Word</w:t>
    </w:r>
  </w:p>
  <w:p w14:paraId="0ABADFB4" w14:textId="77777777" w:rsidR="00FA7E53" w:rsidRDefault="00417743" w:rsidP="00441484">
    <w:pPr>
      <w:pStyle w:val="Header"/>
      <w:pBdr>
        <w:bottom w:val="single" w:sz="4" w:space="1" w:color="auto"/>
      </w:pBdr>
      <w:jc w:val="center"/>
      <w:rPr>
        <w:rFonts w:eastAsia="Times New Roman"/>
        <w:sz w:val="19"/>
        <w:szCs w:val="19"/>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077"/>
    <w:rsid w:val="00036077"/>
    <w:rsid w:val="0015065D"/>
    <w:rsid w:val="001B3840"/>
    <w:rsid w:val="001B6DCC"/>
    <w:rsid w:val="002B0B6D"/>
    <w:rsid w:val="002E1A88"/>
    <w:rsid w:val="003337EE"/>
    <w:rsid w:val="00417743"/>
    <w:rsid w:val="00446BFD"/>
    <w:rsid w:val="00486523"/>
    <w:rsid w:val="005B3C9F"/>
    <w:rsid w:val="005D189C"/>
    <w:rsid w:val="006035D5"/>
    <w:rsid w:val="00693A9E"/>
    <w:rsid w:val="00715B98"/>
    <w:rsid w:val="007F6163"/>
    <w:rsid w:val="008348A6"/>
    <w:rsid w:val="0091211E"/>
    <w:rsid w:val="00AC6A54"/>
    <w:rsid w:val="00BD726E"/>
    <w:rsid w:val="00C40ECF"/>
    <w:rsid w:val="00C45ACA"/>
    <w:rsid w:val="00DA4D54"/>
    <w:rsid w:val="00EA22DC"/>
    <w:rsid w:val="00F1060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87C40"/>
  <w15:chartTrackingRefBased/>
  <w15:docId w15:val="{90F8FCF0-908F-4735-A9A0-823B025D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077"/>
    <w:pPr>
      <w:spacing w:after="0" w:line="240" w:lineRule="auto"/>
      <w:ind w:firstLine="284"/>
      <w:jc w:val="both"/>
    </w:pPr>
    <w:rPr>
      <w:rFonts w:ascii="Times New Roman" w:eastAsia="MS Mincho" w:hAnsi="Times New Roman" w:cs="Times New Roman"/>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077"/>
    <w:pPr>
      <w:tabs>
        <w:tab w:val="center" w:pos="4680"/>
        <w:tab w:val="right" w:pos="9360"/>
      </w:tabs>
    </w:pPr>
  </w:style>
  <w:style w:type="character" w:customStyle="1" w:styleId="HeaderChar">
    <w:name w:val="Header Char"/>
    <w:basedOn w:val="DefaultParagraphFont"/>
    <w:link w:val="Header"/>
    <w:uiPriority w:val="99"/>
    <w:rsid w:val="00036077"/>
    <w:rPr>
      <w:rFonts w:ascii="Times New Roman" w:eastAsia="MS Mincho" w:hAnsi="Times New Roman" w:cs="Times New Roman"/>
      <w:szCs w:val="24"/>
      <w:lang w:eastAsia="ja-JP"/>
    </w:rPr>
  </w:style>
  <w:style w:type="paragraph" w:styleId="Footer">
    <w:name w:val="footer"/>
    <w:basedOn w:val="Normal"/>
    <w:link w:val="FooterChar"/>
    <w:uiPriority w:val="99"/>
    <w:unhideWhenUsed/>
    <w:rsid w:val="00036077"/>
    <w:pPr>
      <w:tabs>
        <w:tab w:val="center" w:pos="4680"/>
        <w:tab w:val="right" w:pos="9360"/>
      </w:tabs>
    </w:pPr>
  </w:style>
  <w:style w:type="character" w:customStyle="1" w:styleId="FooterChar">
    <w:name w:val="Footer Char"/>
    <w:basedOn w:val="DefaultParagraphFont"/>
    <w:link w:val="Footer"/>
    <w:uiPriority w:val="99"/>
    <w:rsid w:val="00036077"/>
    <w:rPr>
      <w:rFonts w:ascii="Times New Roman" w:eastAsia="MS Mincho" w:hAnsi="Times New Roman" w:cs="Times New Roman"/>
      <w:szCs w:val="24"/>
      <w:lang w:eastAsia="ja-JP"/>
    </w:rPr>
  </w:style>
  <w:style w:type="character" w:styleId="Hyperlink">
    <w:name w:val="Hyperlink"/>
    <w:basedOn w:val="DefaultParagraphFont"/>
    <w:uiPriority w:val="99"/>
    <w:rsid w:val="00036077"/>
    <w:rPr>
      <w:color w:val="0000FF"/>
      <w:u w:val="single"/>
    </w:rPr>
  </w:style>
  <w:style w:type="paragraph" w:customStyle="1" w:styleId="IEEEAuthorName">
    <w:name w:val="IEEE Author Name"/>
    <w:basedOn w:val="Normal"/>
    <w:next w:val="Normal"/>
    <w:rsid w:val="00036077"/>
    <w:pPr>
      <w:adjustRightInd w:val="0"/>
      <w:snapToGrid w:val="0"/>
      <w:spacing w:before="120" w:after="120"/>
      <w:ind w:firstLine="0"/>
      <w:jc w:val="center"/>
    </w:pPr>
    <w:rPr>
      <w:rFonts w:eastAsia="Times New Roman"/>
      <w:lang w:val="en-GB" w:eastAsia="en-GB"/>
    </w:rPr>
  </w:style>
  <w:style w:type="paragraph" w:customStyle="1" w:styleId="IEEEAuthorAffiliation">
    <w:name w:val="IEEE Author Affiliation"/>
    <w:basedOn w:val="Normal"/>
    <w:next w:val="Normal"/>
    <w:rsid w:val="00036077"/>
    <w:pPr>
      <w:spacing w:after="60"/>
      <w:ind w:firstLine="0"/>
      <w:jc w:val="center"/>
    </w:pPr>
    <w:rPr>
      <w:rFonts w:eastAsia="Times New Roman"/>
      <w:i/>
      <w:sz w:val="20"/>
      <w:lang w:val="en-GB" w:eastAsia="en-GB"/>
    </w:rPr>
  </w:style>
  <w:style w:type="paragraph" w:customStyle="1" w:styleId="Els-history">
    <w:name w:val="Els-history"/>
    <w:next w:val="Normal"/>
    <w:rsid w:val="00036077"/>
    <w:pPr>
      <w:pBdr>
        <w:top w:val="single" w:sz="4" w:space="1" w:color="auto"/>
      </w:pBdr>
      <w:spacing w:after="0" w:line="230" w:lineRule="exact"/>
    </w:pPr>
    <w:rPr>
      <w:rFonts w:ascii="Times New Roman" w:eastAsia="SimSun" w:hAnsi="Times New Roman" w:cs="Times New Roman"/>
      <w:noProof/>
      <w:sz w:val="15"/>
      <w:szCs w:val="20"/>
      <w:lang w:val="en-US"/>
    </w:rPr>
  </w:style>
  <w:style w:type="paragraph" w:customStyle="1" w:styleId="Els-history-head">
    <w:name w:val="Els-history-head"/>
    <w:basedOn w:val="Els-history"/>
    <w:qFormat/>
    <w:rsid w:val="00036077"/>
    <w:rPr>
      <w:i/>
    </w:rPr>
  </w:style>
  <w:style w:type="paragraph" w:customStyle="1" w:styleId="Els-keywords">
    <w:name w:val="Els-keywords"/>
    <w:next w:val="Normal"/>
    <w:autoRedefine/>
    <w:rsid w:val="00036077"/>
    <w:pPr>
      <w:pBdr>
        <w:top w:val="single" w:sz="4" w:space="1" w:color="auto"/>
      </w:pBdr>
      <w:spacing w:after="0" w:line="230" w:lineRule="exact"/>
    </w:pPr>
    <w:rPr>
      <w:rFonts w:ascii="Times New Roman" w:eastAsia="SimSun" w:hAnsi="Times New Roman" w:cs="Times New Roman"/>
      <w:b/>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ettings" Target="settings.xml"/><Relationship Id="rId16" Type="http://schemas.microsoft.com/office/2007/relationships/diagramDrawing" Target="diagrams/drawing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creativecommons.org/licenses/by-nc/4.0/)" TargetMode="External"/><Relationship Id="rId5" Type="http://schemas.openxmlformats.org/officeDocument/2006/relationships/hyperlink" Target="https://jurnal.idu.ac.id/index.php/DefenseJournal" TargetMode="External"/><Relationship Id="rId15" Type="http://schemas.openxmlformats.org/officeDocument/2006/relationships/diagramColors" Target="diagrams/colors1.xml"/><Relationship Id="rId10" Type="http://schemas.openxmlformats.org/officeDocument/2006/relationships/footer" Target="footer3.xml"/><Relationship Id="rId4" Type="http://schemas.openxmlformats.org/officeDocument/2006/relationships/image" Target="media/image1.jpeg"/><Relationship Id="rId9" Type="http://schemas.openxmlformats.org/officeDocument/2006/relationships/footer" Target="footer2.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E30B4A-FE79-4D3D-9572-8CC76E431376}" type="doc">
      <dgm:prSet loTypeId="urn:microsoft.com/office/officeart/2005/8/layout/pyramid4" loCatId="relationship" qsTypeId="urn:microsoft.com/office/officeart/2005/8/quickstyle/3d3" qsCatId="3D" csTypeId="urn:microsoft.com/office/officeart/2005/8/colors/accent1_1" csCatId="accent1" phldr="1"/>
      <dgm:spPr/>
    </dgm:pt>
    <dgm:pt modelId="{D6F374D7-CC5C-465F-838B-C7F46ADA7C95}">
      <dgm:prSet phldrT="[Text]" custT="1"/>
      <dgm:spPr>
        <a:ln w="57150"/>
      </dgm:spPr>
      <dgm:t>
        <a:bodyPr/>
        <a:lstStyle/>
        <a:p>
          <a:r>
            <a:rPr lang="id-ID" sz="1100" b="1">
              <a:latin typeface="Arial" panose="020B0604020202020204" pitchFamily="34" charset="0"/>
              <a:cs typeface="Arial" panose="020B0604020202020204" pitchFamily="34" charset="0"/>
            </a:rPr>
            <a:t>Economic Sector: Defense of Welfare</a:t>
          </a:r>
        </a:p>
      </dgm:t>
    </dgm:pt>
    <dgm:pt modelId="{9FABB090-BDE1-44BC-906E-E344D3DDBAD9}" type="parTrans" cxnId="{A12C0B81-EFCD-4BC5-B101-0956550204ED}">
      <dgm:prSet/>
      <dgm:spPr/>
      <dgm:t>
        <a:bodyPr/>
        <a:lstStyle/>
        <a:p>
          <a:endParaRPr lang="id-ID"/>
        </a:p>
      </dgm:t>
    </dgm:pt>
    <dgm:pt modelId="{E9580E07-79BD-4F9E-B04E-5366795ADE3C}" type="sibTrans" cxnId="{A12C0B81-EFCD-4BC5-B101-0956550204ED}">
      <dgm:prSet/>
      <dgm:spPr/>
      <dgm:t>
        <a:bodyPr/>
        <a:lstStyle/>
        <a:p>
          <a:endParaRPr lang="id-ID"/>
        </a:p>
      </dgm:t>
    </dgm:pt>
    <dgm:pt modelId="{56EEA3DA-78FA-4C21-8EA4-8855C9B8A66D}">
      <dgm:prSet phldrT="[Text]" custT="1"/>
      <dgm:spPr/>
      <dgm:t>
        <a:bodyPr/>
        <a:lstStyle/>
        <a:p>
          <a:r>
            <a:rPr lang="id-ID" sz="1000" b="1">
              <a:latin typeface="Arial" panose="020B0604020202020204" pitchFamily="34" charset="0"/>
              <a:cs typeface="Arial" panose="020B0604020202020204" pitchFamily="34" charset="0"/>
            </a:rPr>
            <a:t>Education Sector: Defense of Knowledge</a:t>
          </a:r>
        </a:p>
      </dgm:t>
    </dgm:pt>
    <dgm:pt modelId="{C986BBF6-9186-4027-8FA0-1BA1873CB974}" type="parTrans" cxnId="{A9DEDC4C-821B-480C-A156-2D0D17DBD442}">
      <dgm:prSet/>
      <dgm:spPr/>
      <dgm:t>
        <a:bodyPr/>
        <a:lstStyle/>
        <a:p>
          <a:endParaRPr lang="id-ID"/>
        </a:p>
      </dgm:t>
    </dgm:pt>
    <dgm:pt modelId="{815D1481-CDAA-4E55-B75C-16D91E319D03}" type="sibTrans" cxnId="{A9DEDC4C-821B-480C-A156-2D0D17DBD442}">
      <dgm:prSet/>
      <dgm:spPr/>
      <dgm:t>
        <a:bodyPr/>
        <a:lstStyle/>
        <a:p>
          <a:endParaRPr lang="id-ID"/>
        </a:p>
      </dgm:t>
    </dgm:pt>
    <dgm:pt modelId="{2875F305-055A-4061-B4A6-BF7CCD821F60}">
      <dgm:prSet phldrT="[Text]" custT="1"/>
      <dgm:spPr>
        <a:solidFill>
          <a:schemeClr val="accent2"/>
        </a:solidFill>
      </dgm:spPr>
      <dgm:t>
        <a:bodyPr/>
        <a:lstStyle/>
        <a:p>
          <a:endParaRPr lang="en-US" sz="1000" b="1"/>
        </a:p>
        <a:p>
          <a:r>
            <a:rPr lang="id-ID" sz="1000" b="1"/>
            <a:t>The Three Pillars of Muhammadiyah’s Total Defense Strategy </a:t>
          </a:r>
        </a:p>
      </dgm:t>
    </dgm:pt>
    <dgm:pt modelId="{F3B3F8A0-3E03-4E95-93B3-61EF44A03151}" type="parTrans" cxnId="{42D91ADC-AA71-4C0D-A110-834A81FD2DEC}">
      <dgm:prSet/>
      <dgm:spPr/>
      <dgm:t>
        <a:bodyPr/>
        <a:lstStyle/>
        <a:p>
          <a:endParaRPr lang="id-ID"/>
        </a:p>
      </dgm:t>
    </dgm:pt>
    <dgm:pt modelId="{06B1768B-75DC-4EDD-9857-8A71409AF211}" type="sibTrans" cxnId="{42D91ADC-AA71-4C0D-A110-834A81FD2DEC}">
      <dgm:prSet/>
      <dgm:spPr/>
      <dgm:t>
        <a:bodyPr/>
        <a:lstStyle/>
        <a:p>
          <a:endParaRPr lang="id-ID"/>
        </a:p>
      </dgm:t>
    </dgm:pt>
    <dgm:pt modelId="{53DE37CC-76FE-407E-B1A1-0830B07F3E6F}">
      <dgm:prSet custT="1"/>
      <dgm:spPr/>
      <dgm:t>
        <a:bodyPr/>
        <a:lstStyle/>
        <a:p>
          <a:r>
            <a:rPr lang="id-ID" sz="1100" b="1">
              <a:latin typeface="Arial" panose="020B0604020202020204" pitchFamily="34" charset="0"/>
              <a:cs typeface="Arial" panose="020B0604020202020204" pitchFamily="34" charset="0"/>
            </a:rPr>
            <a:t>Health Sector: Defense of Life</a:t>
          </a:r>
        </a:p>
      </dgm:t>
    </dgm:pt>
    <dgm:pt modelId="{0C0CDA55-5A57-4895-89AB-A0576DB329B7}" type="parTrans" cxnId="{EE00350F-FC2D-47DC-B805-610A5EAFA05A}">
      <dgm:prSet/>
      <dgm:spPr/>
      <dgm:t>
        <a:bodyPr/>
        <a:lstStyle/>
        <a:p>
          <a:endParaRPr lang="id-ID"/>
        </a:p>
      </dgm:t>
    </dgm:pt>
    <dgm:pt modelId="{83E319EC-72DD-499C-8D9C-1B84E1857291}" type="sibTrans" cxnId="{EE00350F-FC2D-47DC-B805-610A5EAFA05A}">
      <dgm:prSet/>
      <dgm:spPr/>
      <dgm:t>
        <a:bodyPr/>
        <a:lstStyle/>
        <a:p>
          <a:endParaRPr lang="id-ID"/>
        </a:p>
      </dgm:t>
    </dgm:pt>
    <dgm:pt modelId="{95F6CB27-8008-4B6C-938A-8ABDACDFB7D7}" type="pres">
      <dgm:prSet presAssocID="{ECE30B4A-FE79-4D3D-9572-8CC76E431376}" presName="compositeShape" presStyleCnt="0">
        <dgm:presLayoutVars>
          <dgm:chMax val="9"/>
          <dgm:dir/>
          <dgm:resizeHandles val="exact"/>
        </dgm:presLayoutVars>
      </dgm:prSet>
      <dgm:spPr/>
    </dgm:pt>
    <dgm:pt modelId="{1BDCC7C9-6929-4B39-8490-90C90E365368}" type="pres">
      <dgm:prSet presAssocID="{ECE30B4A-FE79-4D3D-9572-8CC76E431376}" presName="triangle1" presStyleLbl="node1" presStyleIdx="0" presStyleCnt="4">
        <dgm:presLayoutVars>
          <dgm:bulletEnabled val="1"/>
        </dgm:presLayoutVars>
      </dgm:prSet>
      <dgm:spPr/>
    </dgm:pt>
    <dgm:pt modelId="{EC195C9A-8682-4271-BB2B-1DF1681FF0E9}" type="pres">
      <dgm:prSet presAssocID="{ECE30B4A-FE79-4D3D-9572-8CC76E431376}" presName="triangle2" presStyleLbl="node1" presStyleIdx="1" presStyleCnt="4">
        <dgm:presLayoutVars>
          <dgm:bulletEnabled val="1"/>
        </dgm:presLayoutVars>
      </dgm:prSet>
      <dgm:spPr/>
    </dgm:pt>
    <dgm:pt modelId="{1AFD05D2-652D-45A9-A9A3-8AF6722B7039}" type="pres">
      <dgm:prSet presAssocID="{ECE30B4A-FE79-4D3D-9572-8CC76E431376}" presName="triangle3" presStyleLbl="node1" presStyleIdx="2" presStyleCnt="4">
        <dgm:presLayoutVars>
          <dgm:bulletEnabled val="1"/>
        </dgm:presLayoutVars>
      </dgm:prSet>
      <dgm:spPr/>
    </dgm:pt>
    <dgm:pt modelId="{A3CE4AE0-AFE1-4F7A-B003-1B28440B10DA}" type="pres">
      <dgm:prSet presAssocID="{ECE30B4A-FE79-4D3D-9572-8CC76E431376}" presName="triangle4" presStyleLbl="node1" presStyleIdx="3" presStyleCnt="4">
        <dgm:presLayoutVars>
          <dgm:bulletEnabled val="1"/>
        </dgm:presLayoutVars>
      </dgm:prSet>
      <dgm:spPr/>
    </dgm:pt>
  </dgm:ptLst>
  <dgm:cxnLst>
    <dgm:cxn modelId="{EE00350F-FC2D-47DC-B805-610A5EAFA05A}" srcId="{ECE30B4A-FE79-4D3D-9572-8CC76E431376}" destId="{53DE37CC-76FE-407E-B1A1-0830B07F3E6F}" srcOrd="3" destOrd="0" parTransId="{0C0CDA55-5A57-4895-89AB-A0576DB329B7}" sibTransId="{83E319EC-72DD-499C-8D9C-1B84E1857291}"/>
    <dgm:cxn modelId="{CB729434-C709-4F18-BDF1-6C8CBCC9E7E6}" type="presOf" srcId="{56EEA3DA-78FA-4C21-8EA4-8855C9B8A66D}" destId="{EC195C9A-8682-4271-BB2B-1DF1681FF0E9}" srcOrd="0" destOrd="0" presId="urn:microsoft.com/office/officeart/2005/8/layout/pyramid4"/>
    <dgm:cxn modelId="{85CB3748-223A-4A95-B217-D7766595BB27}" type="presOf" srcId="{53DE37CC-76FE-407E-B1A1-0830B07F3E6F}" destId="{A3CE4AE0-AFE1-4F7A-B003-1B28440B10DA}" srcOrd="0" destOrd="0" presId="urn:microsoft.com/office/officeart/2005/8/layout/pyramid4"/>
    <dgm:cxn modelId="{A9DEDC4C-821B-480C-A156-2D0D17DBD442}" srcId="{ECE30B4A-FE79-4D3D-9572-8CC76E431376}" destId="{56EEA3DA-78FA-4C21-8EA4-8855C9B8A66D}" srcOrd="1" destOrd="0" parTransId="{C986BBF6-9186-4027-8FA0-1BA1873CB974}" sibTransId="{815D1481-CDAA-4E55-B75C-16D91E319D03}"/>
    <dgm:cxn modelId="{A12C0B81-EFCD-4BC5-B101-0956550204ED}" srcId="{ECE30B4A-FE79-4D3D-9572-8CC76E431376}" destId="{D6F374D7-CC5C-465F-838B-C7F46ADA7C95}" srcOrd="0" destOrd="0" parTransId="{9FABB090-BDE1-44BC-906E-E344D3DDBAD9}" sibTransId="{E9580E07-79BD-4F9E-B04E-5366795ADE3C}"/>
    <dgm:cxn modelId="{FF05BCB8-9D0A-43E0-835C-03BCB53471A5}" type="presOf" srcId="{ECE30B4A-FE79-4D3D-9572-8CC76E431376}" destId="{95F6CB27-8008-4B6C-938A-8ABDACDFB7D7}" srcOrd="0" destOrd="0" presId="urn:microsoft.com/office/officeart/2005/8/layout/pyramid4"/>
    <dgm:cxn modelId="{8BA917C2-BB98-450E-A621-1BF78837DE3E}" type="presOf" srcId="{D6F374D7-CC5C-465F-838B-C7F46ADA7C95}" destId="{1BDCC7C9-6929-4B39-8490-90C90E365368}" srcOrd="0" destOrd="0" presId="urn:microsoft.com/office/officeart/2005/8/layout/pyramid4"/>
    <dgm:cxn modelId="{42D91ADC-AA71-4C0D-A110-834A81FD2DEC}" srcId="{ECE30B4A-FE79-4D3D-9572-8CC76E431376}" destId="{2875F305-055A-4061-B4A6-BF7CCD821F60}" srcOrd="2" destOrd="0" parTransId="{F3B3F8A0-3E03-4E95-93B3-61EF44A03151}" sibTransId="{06B1768B-75DC-4EDD-9857-8A71409AF211}"/>
    <dgm:cxn modelId="{1F17C1F8-3974-457B-8EBA-887FFF383A44}" type="presOf" srcId="{2875F305-055A-4061-B4A6-BF7CCD821F60}" destId="{1AFD05D2-652D-45A9-A9A3-8AF6722B7039}" srcOrd="0" destOrd="0" presId="urn:microsoft.com/office/officeart/2005/8/layout/pyramid4"/>
    <dgm:cxn modelId="{821D5BD5-D344-441F-81F6-9134CE939974}" type="presParOf" srcId="{95F6CB27-8008-4B6C-938A-8ABDACDFB7D7}" destId="{1BDCC7C9-6929-4B39-8490-90C90E365368}" srcOrd="0" destOrd="0" presId="urn:microsoft.com/office/officeart/2005/8/layout/pyramid4"/>
    <dgm:cxn modelId="{A92DE4DA-7EEC-48C8-B2BC-E413E45DD9E0}" type="presParOf" srcId="{95F6CB27-8008-4B6C-938A-8ABDACDFB7D7}" destId="{EC195C9A-8682-4271-BB2B-1DF1681FF0E9}" srcOrd="1" destOrd="0" presId="urn:microsoft.com/office/officeart/2005/8/layout/pyramid4"/>
    <dgm:cxn modelId="{AB39918A-57C2-44C9-9ECC-0EB275740448}" type="presParOf" srcId="{95F6CB27-8008-4B6C-938A-8ABDACDFB7D7}" destId="{1AFD05D2-652D-45A9-A9A3-8AF6722B7039}" srcOrd="2" destOrd="0" presId="urn:microsoft.com/office/officeart/2005/8/layout/pyramid4"/>
    <dgm:cxn modelId="{19319928-DE3D-43B6-93DA-9364ED934B04}" type="presParOf" srcId="{95F6CB27-8008-4B6C-938A-8ABDACDFB7D7}" destId="{A3CE4AE0-AFE1-4F7A-B003-1B28440B10DA}" srcOrd="3" destOrd="0" presId="urn:microsoft.com/office/officeart/2005/8/layout/pyramid4"/>
  </dgm:cxnLst>
  <dgm:bg/>
  <dgm:whole>
    <a:ln w="38100"/>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DCC7C9-6929-4B39-8490-90C90E365368}">
      <dsp:nvSpPr>
        <dsp:cNvPr id="0" name=""/>
        <dsp:cNvSpPr/>
      </dsp:nvSpPr>
      <dsp:spPr>
        <a:xfrm>
          <a:off x="1943100" y="0"/>
          <a:ext cx="1600200" cy="1600200"/>
        </a:xfrm>
        <a:prstGeom prst="triangle">
          <a:avLst/>
        </a:prstGeom>
        <a:solidFill>
          <a:schemeClr val="lt1">
            <a:hueOff val="0"/>
            <a:satOff val="0"/>
            <a:lumOff val="0"/>
            <a:alphaOff val="0"/>
          </a:schemeClr>
        </a:solidFill>
        <a:ln w="57150">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b="1" kern="1200">
              <a:latin typeface="Arial" panose="020B0604020202020204" pitchFamily="34" charset="0"/>
              <a:cs typeface="Arial" panose="020B0604020202020204" pitchFamily="34" charset="0"/>
            </a:rPr>
            <a:t>Economic Sector: Defense of Welfare</a:t>
          </a:r>
        </a:p>
      </dsp:txBody>
      <dsp:txXfrm>
        <a:off x="2343150" y="800100"/>
        <a:ext cx="800100" cy="800100"/>
      </dsp:txXfrm>
    </dsp:sp>
    <dsp:sp modelId="{EC195C9A-8682-4271-BB2B-1DF1681FF0E9}">
      <dsp:nvSpPr>
        <dsp:cNvPr id="0" name=""/>
        <dsp:cNvSpPr/>
      </dsp:nvSpPr>
      <dsp:spPr>
        <a:xfrm>
          <a:off x="1143000" y="1600200"/>
          <a:ext cx="1600200" cy="1600200"/>
        </a:xfrm>
        <a:prstGeom prst="triangl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id-ID" sz="1000" b="1" kern="1200">
              <a:latin typeface="Arial" panose="020B0604020202020204" pitchFamily="34" charset="0"/>
              <a:cs typeface="Arial" panose="020B0604020202020204" pitchFamily="34" charset="0"/>
            </a:rPr>
            <a:t>Education Sector: Defense of Knowledge</a:t>
          </a:r>
        </a:p>
      </dsp:txBody>
      <dsp:txXfrm>
        <a:off x="1543050" y="2400300"/>
        <a:ext cx="800100" cy="800100"/>
      </dsp:txXfrm>
    </dsp:sp>
    <dsp:sp modelId="{1AFD05D2-652D-45A9-A9A3-8AF6722B7039}">
      <dsp:nvSpPr>
        <dsp:cNvPr id="0" name=""/>
        <dsp:cNvSpPr/>
      </dsp:nvSpPr>
      <dsp:spPr>
        <a:xfrm rot="10800000">
          <a:off x="1943100" y="1600200"/>
          <a:ext cx="1600200" cy="1600200"/>
        </a:xfrm>
        <a:prstGeom prst="triangle">
          <a:avLst/>
        </a:prstGeom>
        <a:solidFill>
          <a:schemeClr val="accent2"/>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endParaRPr lang="en-US" sz="1000" b="1" kern="1200"/>
        </a:p>
        <a:p>
          <a:pPr marL="0" lvl="0" indent="0" algn="ctr" defTabSz="444500">
            <a:lnSpc>
              <a:spcPct val="90000"/>
            </a:lnSpc>
            <a:spcBef>
              <a:spcPct val="0"/>
            </a:spcBef>
            <a:spcAft>
              <a:spcPct val="35000"/>
            </a:spcAft>
            <a:buNone/>
          </a:pPr>
          <a:r>
            <a:rPr lang="id-ID" sz="1000" b="1" kern="1200"/>
            <a:t>The Three Pillars of Muhammadiyah’s Total Defense Strategy </a:t>
          </a:r>
        </a:p>
      </dsp:txBody>
      <dsp:txXfrm rot="10800000">
        <a:off x="2343150" y="1600200"/>
        <a:ext cx="800100" cy="800100"/>
      </dsp:txXfrm>
    </dsp:sp>
    <dsp:sp modelId="{A3CE4AE0-AFE1-4F7A-B003-1B28440B10DA}">
      <dsp:nvSpPr>
        <dsp:cNvPr id="0" name=""/>
        <dsp:cNvSpPr/>
      </dsp:nvSpPr>
      <dsp:spPr>
        <a:xfrm>
          <a:off x="2743200" y="1600200"/>
          <a:ext cx="1600200" cy="1600200"/>
        </a:xfrm>
        <a:prstGeom prst="triangle">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id-ID" sz="1100" b="1" kern="1200">
              <a:latin typeface="Arial" panose="020B0604020202020204" pitchFamily="34" charset="0"/>
              <a:cs typeface="Arial" panose="020B0604020202020204" pitchFamily="34" charset="0"/>
            </a:rPr>
            <a:t>Health Sector: Defense of Life</a:t>
          </a:r>
        </a:p>
      </dsp:txBody>
      <dsp:txXfrm>
        <a:off x="3143250" y="2400300"/>
        <a:ext cx="800100" cy="800100"/>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12</Pages>
  <Words>5261</Words>
  <Characters>29993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17</cp:revision>
  <dcterms:created xsi:type="dcterms:W3CDTF">2025-10-07T07:30:00Z</dcterms:created>
  <dcterms:modified xsi:type="dcterms:W3CDTF">2025-10-07T09:12:00Z</dcterms:modified>
</cp:coreProperties>
</file>